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255" w:lineRule="auto"/>
        <w:rPr>
          <w:rFonts w:ascii="Arial"/>
          <w:sz w:val="21"/>
        </w:rPr>
      </w:pPr>
      <w:r/>
    </w:p>
    <w:p>
      <w:pPr>
        <w:spacing w:line="256" w:lineRule="auto"/>
        <w:rPr>
          <w:rFonts w:ascii="Arial"/>
          <w:sz w:val="21"/>
        </w:rPr>
      </w:pPr>
      <w:r/>
    </w:p>
    <w:p>
      <w:pPr>
        <w:spacing w:line="256" w:lineRule="auto"/>
        <w:rPr>
          <w:rFonts w:ascii="Arial"/>
          <w:sz w:val="21"/>
        </w:rPr>
      </w:pPr>
      <w:r/>
    </w:p>
    <w:p>
      <w:pPr>
        <w:ind w:left="167"/>
        <w:spacing w:before="101" w:line="230" w:lineRule="auto"/>
        <w:rPr>
          <w:rFonts w:ascii="SimSun" w:hAnsi="SimSun" w:eastAsia="SimSun" w:cs="SimSun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-4"/>
        </w:rPr>
        <w:t>附件</w:t>
      </w:r>
      <w:r>
        <w:rPr>
          <w:rFonts w:ascii="SimHei" w:hAnsi="SimHei" w:eastAsia="SimHei" w:cs="SimHei"/>
          <w:sz w:val="31"/>
          <w:szCs w:val="31"/>
          <w:spacing w:val="-57"/>
        </w:rPr>
        <w:t xml:space="preserve"> </w:t>
      </w:r>
      <w:r>
        <w:rPr>
          <w:rFonts w:ascii="SimSun" w:hAnsi="SimSun" w:eastAsia="SimSun" w:cs="SimSun"/>
          <w:sz w:val="31"/>
          <w:szCs w:val="31"/>
          <w:spacing w:val="-4"/>
        </w:rPr>
        <w:t>2</w:t>
      </w:r>
    </w:p>
    <w:p>
      <w:pPr>
        <w:spacing w:line="273" w:lineRule="auto"/>
        <w:rPr>
          <w:rFonts w:ascii="Arial"/>
          <w:sz w:val="21"/>
        </w:rPr>
      </w:pPr>
      <w:r/>
    </w:p>
    <w:p>
      <w:pPr>
        <w:spacing w:line="273" w:lineRule="auto"/>
        <w:rPr>
          <w:rFonts w:ascii="Arial"/>
          <w:sz w:val="21"/>
        </w:rPr>
      </w:pPr>
      <w:r/>
    </w:p>
    <w:p>
      <w:pPr>
        <w:ind w:left="610"/>
        <w:spacing w:before="164" w:line="211" w:lineRule="auto"/>
        <w:rPr>
          <w:rFonts w:ascii="FZXiaoBiaoSong-B05S" w:hAnsi="FZXiaoBiaoSong-B05S" w:eastAsia="FZXiaoBiaoSong-B05S" w:cs="FZXiaoBiaoSong-B05S"/>
          <w:sz w:val="43"/>
          <w:szCs w:val="43"/>
        </w:rPr>
      </w:pPr>
      <w:r>
        <w:rPr>
          <w:rFonts w:ascii="FZXiaoBiaoSong-B05S" w:hAnsi="FZXiaoBiaoSong-B05S" w:eastAsia="FZXiaoBiaoSong-B05S" w:cs="FZXiaoBiaoSong-B05S"/>
          <w:sz w:val="43"/>
          <w:szCs w:val="43"/>
          <w:spacing w:val="9"/>
        </w:rPr>
        <w:t>往年已开展研究的部分涉外法治课题项目</w:t>
      </w:r>
    </w:p>
    <w:p>
      <w:pPr>
        <w:spacing w:before="29"/>
        <w:rPr/>
      </w:pPr>
      <w:r/>
    </w:p>
    <w:p>
      <w:pPr>
        <w:spacing w:before="29"/>
        <w:rPr/>
      </w:pPr>
      <w:r/>
    </w:p>
    <w:tbl>
      <w:tblPr>
        <w:tblStyle w:val="TableNormal"/>
        <w:tblW w:w="911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81"/>
        <w:gridCol w:w="8233"/>
      </w:tblGrid>
      <w:tr>
        <w:trPr>
          <w:trHeight w:val="633" w:hRule="atLeast"/>
        </w:trPr>
        <w:tc>
          <w:tcPr>
            <w:tcW w:w="881" w:type="dxa"/>
            <w:vAlign w:val="top"/>
          </w:tcPr>
          <w:p>
            <w:pPr>
              <w:ind w:left="130"/>
              <w:spacing w:before="159" w:line="228" w:lineRule="auto"/>
              <w:rPr>
                <w:rFonts w:ascii="SimHei" w:hAnsi="SimHei" w:eastAsia="SimHei" w:cs="SimHei"/>
                <w:sz w:val="31"/>
                <w:szCs w:val="31"/>
              </w:rPr>
            </w:pPr>
            <w:r>
              <w:rPr>
                <w:rFonts w:ascii="SimHei" w:hAnsi="SimHei" w:eastAsia="SimHei" w:cs="SimHei"/>
                <w:sz w:val="31"/>
                <w:szCs w:val="31"/>
                <w:spacing w:val="2"/>
              </w:rPr>
              <w:t>序号</w:t>
            </w:r>
          </w:p>
        </w:tc>
        <w:tc>
          <w:tcPr>
            <w:tcW w:w="8233" w:type="dxa"/>
            <w:vAlign w:val="top"/>
          </w:tcPr>
          <w:p>
            <w:pPr>
              <w:ind w:left="3482"/>
              <w:spacing w:before="158" w:line="226" w:lineRule="auto"/>
              <w:rPr>
                <w:rFonts w:ascii="SimHei" w:hAnsi="SimHei" w:eastAsia="SimHei" w:cs="SimHei"/>
                <w:sz w:val="31"/>
                <w:szCs w:val="31"/>
              </w:rPr>
            </w:pPr>
            <w:r>
              <w:rPr>
                <w:rFonts w:ascii="SimHei" w:hAnsi="SimHei" w:eastAsia="SimHei" w:cs="SimHei"/>
                <w:sz w:val="31"/>
                <w:szCs w:val="31"/>
                <w:spacing w:val="7"/>
              </w:rPr>
              <w:t>课题项目</w:t>
            </w:r>
          </w:p>
        </w:tc>
      </w:tr>
      <w:tr>
        <w:trPr>
          <w:trHeight w:val="724" w:hRule="atLeast"/>
        </w:trPr>
        <w:tc>
          <w:tcPr>
            <w:tcW w:w="881" w:type="dxa"/>
            <w:vAlign w:val="top"/>
          </w:tcPr>
          <w:p>
            <w:pPr>
              <w:ind w:left="393"/>
              <w:spacing w:before="251" w:line="187" w:lineRule="auto"/>
              <w:rPr>
                <w:rFonts w:ascii="SimSun" w:hAnsi="SimSun" w:eastAsia="SimSun" w:cs="SimSun"/>
                <w:sz w:val="31"/>
                <w:szCs w:val="31"/>
              </w:rPr>
            </w:pPr>
            <w:r>
              <w:rPr>
                <w:rFonts w:ascii="SimSun" w:hAnsi="SimSun" w:eastAsia="SimSun" w:cs="SimSun"/>
                <w:sz w:val="31"/>
                <w:szCs w:val="31"/>
              </w:rPr>
              <w:t>1</w:t>
            </w:r>
          </w:p>
        </w:tc>
        <w:tc>
          <w:tcPr>
            <w:tcW w:w="8233" w:type="dxa"/>
            <w:vAlign w:val="top"/>
          </w:tcPr>
          <w:p>
            <w:pPr>
              <w:pStyle w:val="TableText"/>
              <w:ind w:left="3985" w:right="116" w:hanging="3856"/>
              <w:spacing w:before="22" w:line="206" w:lineRule="auto"/>
              <w:rPr/>
            </w:pPr>
            <w:r>
              <w:rPr>
                <w:spacing w:val="9"/>
              </w:rPr>
              <w:t>在习近平法治思想引领下统筹推进国内法治和涉外法治研</w:t>
            </w:r>
            <w:r>
              <w:rPr>
                <w:spacing w:val="6"/>
              </w:rPr>
              <w:t xml:space="preserve"> </w:t>
            </w:r>
            <w:r>
              <w:rPr/>
              <w:t>究</w:t>
            </w:r>
          </w:p>
        </w:tc>
      </w:tr>
      <w:tr>
        <w:trPr>
          <w:trHeight w:val="628" w:hRule="atLeast"/>
        </w:trPr>
        <w:tc>
          <w:tcPr>
            <w:tcW w:w="881" w:type="dxa"/>
            <w:vAlign w:val="top"/>
          </w:tcPr>
          <w:p>
            <w:pPr>
              <w:ind w:left="374"/>
              <w:spacing w:before="206" w:line="187" w:lineRule="auto"/>
              <w:rPr>
                <w:rFonts w:ascii="SimSun" w:hAnsi="SimSun" w:eastAsia="SimSun" w:cs="SimSun"/>
                <w:sz w:val="31"/>
                <w:szCs w:val="31"/>
              </w:rPr>
            </w:pPr>
            <w:r>
              <w:rPr>
                <w:rFonts w:ascii="SimSun" w:hAnsi="SimSun" w:eastAsia="SimSun" w:cs="SimSun"/>
                <w:sz w:val="31"/>
                <w:szCs w:val="31"/>
              </w:rPr>
              <w:t>2</w:t>
            </w:r>
          </w:p>
        </w:tc>
        <w:tc>
          <w:tcPr>
            <w:tcW w:w="8233" w:type="dxa"/>
            <w:vAlign w:val="top"/>
          </w:tcPr>
          <w:p>
            <w:pPr>
              <w:pStyle w:val="TableText"/>
              <w:ind w:left="1722"/>
              <w:spacing w:before="157" w:line="220" w:lineRule="auto"/>
              <w:rPr/>
            </w:pPr>
            <w:r>
              <w:rPr>
                <w:spacing w:val="9"/>
              </w:rPr>
              <w:t>广东加强制度型开放法治问题研究</w:t>
            </w:r>
          </w:p>
        </w:tc>
      </w:tr>
      <w:tr>
        <w:trPr>
          <w:trHeight w:val="629" w:hRule="atLeast"/>
        </w:trPr>
        <w:tc>
          <w:tcPr>
            <w:tcW w:w="881" w:type="dxa"/>
            <w:vAlign w:val="top"/>
          </w:tcPr>
          <w:p>
            <w:pPr>
              <w:ind w:left="376"/>
              <w:spacing w:before="207" w:line="187" w:lineRule="auto"/>
              <w:rPr>
                <w:rFonts w:ascii="SimSun" w:hAnsi="SimSun" w:eastAsia="SimSun" w:cs="SimSun"/>
                <w:sz w:val="31"/>
                <w:szCs w:val="31"/>
              </w:rPr>
            </w:pPr>
            <w:r>
              <w:rPr>
                <w:rFonts w:ascii="SimSun" w:hAnsi="SimSun" w:eastAsia="SimSun" w:cs="SimSun"/>
                <w:sz w:val="31"/>
                <w:szCs w:val="31"/>
              </w:rPr>
              <w:t>3</w:t>
            </w:r>
          </w:p>
        </w:tc>
        <w:tc>
          <w:tcPr>
            <w:tcW w:w="8233" w:type="dxa"/>
            <w:vAlign w:val="top"/>
          </w:tcPr>
          <w:p>
            <w:pPr>
              <w:pStyle w:val="TableText"/>
              <w:ind w:left="2223"/>
              <w:spacing w:before="158" w:line="219" w:lineRule="auto"/>
              <w:rPr/>
            </w:pPr>
            <w:r>
              <w:rPr>
                <w:spacing w:val="7"/>
              </w:rPr>
              <w:t>涉外法治人才队伍建设研究</w:t>
            </w:r>
          </w:p>
        </w:tc>
      </w:tr>
      <w:tr>
        <w:trPr>
          <w:trHeight w:val="629" w:hRule="atLeast"/>
        </w:trPr>
        <w:tc>
          <w:tcPr>
            <w:tcW w:w="881" w:type="dxa"/>
            <w:vAlign w:val="top"/>
          </w:tcPr>
          <w:p>
            <w:pPr>
              <w:ind w:left="368"/>
              <w:spacing w:before="207" w:line="187" w:lineRule="auto"/>
              <w:rPr>
                <w:rFonts w:ascii="SimSun" w:hAnsi="SimSun" w:eastAsia="SimSun" w:cs="SimSun"/>
                <w:sz w:val="31"/>
                <w:szCs w:val="31"/>
              </w:rPr>
            </w:pPr>
            <w:r>
              <w:rPr>
                <w:rFonts w:ascii="SimSun" w:hAnsi="SimSun" w:eastAsia="SimSun" w:cs="SimSun"/>
                <w:sz w:val="31"/>
                <w:szCs w:val="31"/>
              </w:rPr>
              <w:t>4</w:t>
            </w:r>
          </w:p>
        </w:tc>
        <w:tc>
          <w:tcPr>
            <w:tcW w:w="8233" w:type="dxa"/>
            <w:vAlign w:val="top"/>
          </w:tcPr>
          <w:p>
            <w:pPr>
              <w:pStyle w:val="TableText"/>
              <w:ind w:left="1732"/>
              <w:spacing w:before="158" w:line="218" w:lineRule="auto"/>
              <w:rPr/>
            </w:pPr>
            <w:r>
              <w:rPr>
                <w:spacing w:val="8"/>
              </w:rPr>
              <w:t>数据跨境流动风险研究和法治应对</w:t>
            </w:r>
          </w:p>
        </w:tc>
      </w:tr>
      <w:tr>
        <w:trPr>
          <w:trHeight w:val="629" w:hRule="atLeast"/>
        </w:trPr>
        <w:tc>
          <w:tcPr>
            <w:tcW w:w="881" w:type="dxa"/>
            <w:vAlign w:val="top"/>
          </w:tcPr>
          <w:p>
            <w:pPr>
              <w:ind w:left="376"/>
              <w:spacing w:before="210" w:line="185" w:lineRule="auto"/>
              <w:rPr>
                <w:rFonts w:ascii="SimSun" w:hAnsi="SimSun" w:eastAsia="SimSun" w:cs="SimSun"/>
                <w:sz w:val="31"/>
                <w:szCs w:val="31"/>
              </w:rPr>
            </w:pPr>
            <w:r>
              <w:rPr>
                <w:rFonts w:ascii="SimSun" w:hAnsi="SimSun" w:eastAsia="SimSun" w:cs="SimSun"/>
                <w:sz w:val="31"/>
                <w:szCs w:val="31"/>
              </w:rPr>
              <w:t>5</w:t>
            </w:r>
          </w:p>
        </w:tc>
        <w:tc>
          <w:tcPr>
            <w:tcW w:w="8233" w:type="dxa"/>
            <w:vAlign w:val="top"/>
          </w:tcPr>
          <w:p>
            <w:pPr>
              <w:pStyle w:val="TableText"/>
              <w:ind w:left="2162"/>
              <w:spacing w:before="157" w:line="219" w:lineRule="auto"/>
              <w:rPr/>
            </w:pPr>
            <w:r>
              <w:rPr>
                <w:rFonts w:ascii="SimSun" w:hAnsi="SimSun" w:eastAsia="SimSun" w:cs="SimSun"/>
              </w:rPr>
              <w:t>RCEP</w:t>
            </w:r>
            <w:r>
              <w:rPr>
                <w:rFonts w:ascii="SimSun" w:hAnsi="SimSun" w:eastAsia="SimSun" w:cs="SimSun"/>
                <w:spacing w:val="-57"/>
              </w:rPr>
              <w:t xml:space="preserve"> </w:t>
            </w:r>
            <w:r>
              <w:rPr>
                <w:spacing w:val="9"/>
              </w:rPr>
              <w:t>视角下的知识产权保护</w:t>
            </w:r>
          </w:p>
        </w:tc>
      </w:tr>
      <w:tr>
        <w:trPr>
          <w:trHeight w:val="629" w:hRule="atLeast"/>
        </w:trPr>
        <w:tc>
          <w:tcPr>
            <w:tcW w:w="881" w:type="dxa"/>
            <w:vAlign w:val="top"/>
          </w:tcPr>
          <w:p>
            <w:pPr>
              <w:ind w:left="372"/>
              <w:spacing w:before="206" w:line="187" w:lineRule="auto"/>
              <w:rPr>
                <w:rFonts w:ascii="SimSun" w:hAnsi="SimSun" w:eastAsia="SimSun" w:cs="SimSun"/>
                <w:sz w:val="31"/>
                <w:szCs w:val="31"/>
              </w:rPr>
            </w:pPr>
            <w:r>
              <w:rPr>
                <w:rFonts w:ascii="SimSun" w:hAnsi="SimSun" w:eastAsia="SimSun" w:cs="SimSun"/>
                <w:sz w:val="31"/>
                <w:szCs w:val="31"/>
              </w:rPr>
              <w:t>6</w:t>
            </w:r>
          </w:p>
        </w:tc>
        <w:tc>
          <w:tcPr>
            <w:tcW w:w="8233" w:type="dxa"/>
            <w:vAlign w:val="top"/>
          </w:tcPr>
          <w:p>
            <w:pPr>
              <w:pStyle w:val="TableText"/>
              <w:ind w:left="1565"/>
              <w:spacing w:before="157" w:line="219" w:lineRule="auto"/>
              <w:rPr/>
            </w:pPr>
            <w:r>
              <w:rPr>
                <w:spacing w:val="9"/>
              </w:rPr>
              <w:t>粤港澳大湾区知识产权联动保护研究</w:t>
            </w:r>
          </w:p>
        </w:tc>
      </w:tr>
      <w:tr>
        <w:trPr>
          <w:trHeight w:val="629" w:hRule="atLeast"/>
        </w:trPr>
        <w:tc>
          <w:tcPr>
            <w:tcW w:w="881" w:type="dxa"/>
            <w:vAlign w:val="top"/>
          </w:tcPr>
          <w:p>
            <w:pPr>
              <w:ind w:left="377"/>
              <w:spacing w:before="209" w:line="185" w:lineRule="auto"/>
              <w:rPr>
                <w:rFonts w:ascii="SimSun" w:hAnsi="SimSun" w:eastAsia="SimSun" w:cs="SimSun"/>
                <w:sz w:val="31"/>
                <w:szCs w:val="31"/>
              </w:rPr>
            </w:pPr>
            <w:r>
              <w:rPr>
                <w:rFonts w:ascii="SimSun" w:hAnsi="SimSun" w:eastAsia="SimSun" w:cs="SimSun"/>
                <w:sz w:val="31"/>
                <w:szCs w:val="31"/>
              </w:rPr>
              <w:t>7</w:t>
            </w:r>
          </w:p>
        </w:tc>
        <w:tc>
          <w:tcPr>
            <w:tcW w:w="8233" w:type="dxa"/>
            <w:vAlign w:val="top"/>
          </w:tcPr>
          <w:p>
            <w:pPr>
              <w:pStyle w:val="TableText"/>
              <w:ind w:left="924"/>
              <w:spacing w:before="157" w:line="219" w:lineRule="auto"/>
              <w:rPr/>
            </w:pPr>
            <w:r>
              <w:rPr>
                <w:spacing w:val="9"/>
              </w:rPr>
              <w:t>粤港澳大湾区民商事多元纠纷解决机制的研究</w:t>
            </w:r>
          </w:p>
        </w:tc>
      </w:tr>
      <w:tr>
        <w:trPr>
          <w:trHeight w:val="629" w:hRule="atLeast"/>
        </w:trPr>
        <w:tc>
          <w:tcPr>
            <w:tcW w:w="881" w:type="dxa"/>
            <w:vAlign w:val="top"/>
          </w:tcPr>
          <w:p>
            <w:pPr>
              <w:ind w:left="371"/>
              <w:spacing w:before="207" w:line="187" w:lineRule="auto"/>
              <w:rPr>
                <w:rFonts w:ascii="SimSun" w:hAnsi="SimSun" w:eastAsia="SimSun" w:cs="SimSun"/>
                <w:sz w:val="31"/>
                <w:szCs w:val="31"/>
              </w:rPr>
            </w:pPr>
            <w:r>
              <w:rPr>
                <w:rFonts w:ascii="SimSun" w:hAnsi="SimSun" w:eastAsia="SimSun" w:cs="SimSun"/>
                <w:sz w:val="31"/>
                <w:szCs w:val="31"/>
              </w:rPr>
              <w:t>8</w:t>
            </w:r>
          </w:p>
        </w:tc>
        <w:tc>
          <w:tcPr>
            <w:tcW w:w="8233" w:type="dxa"/>
            <w:vAlign w:val="top"/>
          </w:tcPr>
          <w:p>
            <w:pPr>
              <w:pStyle w:val="TableText"/>
              <w:ind w:left="923"/>
              <w:spacing w:before="158" w:line="220" w:lineRule="auto"/>
              <w:rPr/>
            </w:pPr>
            <w:r>
              <w:rPr>
                <w:spacing w:val="9"/>
              </w:rPr>
              <w:t>广东省新能源汽车产业涉外法律风险防控研究</w:t>
            </w:r>
          </w:p>
        </w:tc>
      </w:tr>
      <w:tr>
        <w:trPr>
          <w:trHeight w:val="628" w:hRule="atLeast"/>
        </w:trPr>
        <w:tc>
          <w:tcPr>
            <w:tcW w:w="881" w:type="dxa"/>
            <w:vAlign w:val="top"/>
          </w:tcPr>
          <w:p>
            <w:pPr>
              <w:ind w:left="371"/>
              <w:spacing w:before="207" w:line="187" w:lineRule="auto"/>
              <w:rPr>
                <w:rFonts w:ascii="SimSun" w:hAnsi="SimSun" w:eastAsia="SimSun" w:cs="SimSun"/>
                <w:sz w:val="31"/>
                <w:szCs w:val="31"/>
              </w:rPr>
            </w:pPr>
            <w:r>
              <w:rPr>
                <w:rFonts w:ascii="SimSun" w:hAnsi="SimSun" w:eastAsia="SimSun" w:cs="SimSun"/>
                <w:sz w:val="31"/>
                <w:szCs w:val="31"/>
              </w:rPr>
              <w:t>9</w:t>
            </w:r>
          </w:p>
        </w:tc>
        <w:tc>
          <w:tcPr>
            <w:tcW w:w="8233" w:type="dxa"/>
            <w:vAlign w:val="top"/>
          </w:tcPr>
          <w:p>
            <w:pPr>
              <w:pStyle w:val="TableText"/>
              <w:ind w:left="1095"/>
              <w:spacing w:before="158" w:line="219" w:lineRule="auto"/>
              <w:rPr/>
            </w:pPr>
            <w:r>
              <w:rPr>
                <w:spacing w:val="8"/>
              </w:rPr>
              <w:t>东南亚、南亚国家投资指引及本土经营策略</w:t>
            </w:r>
          </w:p>
        </w:tc>
      </w:tr>
      <w:tr>
        <w:trPr>
          <w:trHeight w:val="629" w:hRule="atLeast"/>
        </w:trPr>
        <w:tc>
          <w:tcPr>
            <w:tcW w:w="881" w:type="dxa"/>
            <w:vAlign w:val="top"/>
          </w:tcPr>
          <w:p>
            <w:pPr>
              <w:ind w:left="314"/>
              <w:spacing w:before="206" w:line="188" w:lineRule="auto"/>
              <w:rPr>
                <w:rFonts w:ascii="SimSun" w:hAnsi="SimSun" w:eastAsia="SimSun" w:cs="SimSun"/>
                <w:sz w:val="31"/>
                <w:szCs w:val="31"/>
              </w:rPr>
            </w:pPr>
            <w:r>
              <w:rPr>
                <w:rFonts w:ascii="SimSun" w:hAnsi="SimSun" w:eastAsia="SimSun" w:cs="SimSun"/>
                <w:sz w:val="31"/>
                <w:szCs w:val="31"/>
                <w:spacing w:val="-13"/>
              </w:rPr>
              <w:t>10</w:t>
            </w:r>
          </w:p>
        </w:tc>
        <w:tc>
          <w:tcPr>
            <w:tcW w:w="8233" w:type="dxa"/>
            <w:vAlign w:val="top"/>
          </w:tcPr>
          <w:p>
            <w:pPr>
              <w:pStyle w:val="TableText"/>
              <w:ind w:left="1723"/>
              <w:spacing w:before="159" w:line="219" w:lineRule="auto"/>
              <w:rPr/>
            </w:pPr>
            <w:r>
              <w:rPr>
                <w:spacing w:val="9"/>
              </w:rPr>
              <w:t>拉美国家投资指引及本土经营策略</w:t>
            </w:r>
          </w:p>
        </w:tc>
      </w:tr>
      <w:tr>
        <w:trPr>
          <w:trHeight w:val="629" w:hRule="atLeast"/>
        </w:trPr>
        <w:tc>
          <w:tcPr>
            <w:tcW w:w="881" w:type="dxa"/>
            <w:vAlign w:val="top"/>
          </w:tcPr>
          <w:p>
            <w:pPr>
              <w:ind w:left="314"/>
              <w:spacing w:before="207" w:line="187" w:lineRule="auto"/>
              <w:rPr>
                <w:rFonts w:ascii="SimSun" w:hAnsi="SimSun" w:eastAsia="SimSun" w:cs="SimSun"/>
                <w:sz w:val="31"/>
                <w:szCs w:val="31"/>
              </w:rPr>
            </w:pPr>
            <w:r>
              <w:rPr>
                <w:rFonts w:ascii="SimSun" w:hAnsi="SimSun" w:eastAsia="SimSun" w:cs="SimSun"/>
                <w:sz w:val="31"/>
                <w:szCs w:val="31"/>
                <w:spacing w:val="-13"/>
              </w:rPr>
              <w:t>11</w:t>
            </w:r>
          </w:p>
        </w:tc>
        <w:tc>
          <w:tcPr>
            <w:tcW w:w="8233" w:type="dxa"/>
            <w:vAlign w:val="top"/>
          </w:tcPr>
          <w:p>
            <w:pPr>
              <w:pStyle w:val="TableText"/>
              <w:ind w:left="1760"/>
              <w:spacing w:before="158" w:line="219" w:lineRule="auto"/>
              <w:rPr/>
            </w:pPr>
            <w:r>
              <w:rPr>
                <w:spacing w:val="6"/>
              </w:rPr>
              <w:t>中东国家投资指引及本土经营策略</w:t>
            </w:r>
          </w:p>
        </w:tc>
      </w:tr>
      <w:tr>
        <w:trPr>
          <w:trHeight w:val="629" w:hRule="atLeast"/>
        </w:trPr>
        <w:tc>
          <w:tcPr>
            <w:tcW w:w="881" w:type="dxa"/>
            <w:vAlign w:val="top"/>
          </w:tcPr>
          <w:p>
            <w:pPr>
              <w:ind w:left="314"/>
              <w:spacing w:before="207" w:line="187" w:lineRule="auto"/>
              <w:rPr>
                <w:rFonts w:ascii="SimSun" w:hAnsi="SimSun" w:eastAsia="SimSun" w:cs="SimSun"/>
                <w:sz w:val="31"/>
                <w:szCs w:val="31"/>
              </w:rPr>
            </w:pPr>
            <w:r>
              <w:rPr>
                <w:rFonts w:ascii="SimSun" w:hAnsi="SimSun" w:eastAsia="SimSun" w:cs="SimSun"/>
                <w:sz w:val="31"/>
                <w:szCs w:val="31"/>
                <w:spacing w:val="-13"/>
              </w:rPr>
              <w:t>12</w:t>
            </w:r>
          </w:p>
        </w:tc>
        <w:tc>
          <w:tcPr>
            <w:tcW w:w="8233" w:type="dxa"/>
            <w:vAlign w:val="top"/>
          </w:tcPr>
          <w:p>
            <w:pPr>
              <w:pStyle w:val="TableText"/>
              <w:ind w:left="142"/>
              <w:spacing w:before="158" w:line="218" w:lineRule="auto"/>
              <w:rPr/>
            </w:pPr>
            <w:r>
              <w:rPr>
                <w:spacing w:val="8"/>
              </w:rPr>
              <w:t>完善海外知识产权争议境内诉讼机制及海外诉讼应对机制</w:t>
            </w:r>
          </w:p>
        </w:tc>
      </w:tr>
      <w:tr>
        <w:trPr>
          <w:trHeight w:val="629" w:hRule="atLeast"/>
        </w:trPr>
        <w:tc>
          <w:tcPr>
            <w:tcW w:w="881" w:type="dxa"/>
            <w:vAlign w:val="top"/>
          </w:tcPr>
          <w:p>
            <w:pPr>
              <w:ind w:left="314"/>
              <w:spacing w:before="205" w:line="188" w:lineRule="auto"/>
              <w:rPr>
                <w:rFonts w:ascii="SimSun" w:hAnsi="SimSun" w:eastAsia="SimSun" w:cs="SimSun"/>
                <w:sz w:val="31"/>
                <w:szCs w:val="31"/>
              </w:rPr>
            </w:pPr>
            <w:r>
              <w:rPr>
                <w:rFonts w:ascii="SimSun" w:hAnsi="SimSun" w:eastAsia="SimSun" w:cs="SimSun"/>
                <w:sz w:val="31"/>
                <w:szCs w:val="31"/>
                <w:spacing w:val="-13"/>
              </w:rPr>
              <w:t>13</w:t>
            </w:r>
          </w:p>
        </w:tc>
        <w:tc>
          <w:tcPr>
            <w:tcW w:w="8233" w:type="dxa"/>
            <w:vAlign w:val="top"/>
          </w:tcPr>
          <w:p>
            <w:pPr>
              <w:pStyle w:val="TableText"/>
              <w:ind w:left="1884"/>
              <w:spacing w:before="158" w:line="219" w:lineRule="auto"/>
              <w:rPr/>
            </w:pPr>
            <w:r>
              <w:rPr>
                <w:spacing w:val="8"/>
              </w:rPr>
              <w:t>粤港澳大湾区规则衔接实证研究</w:t>
            </w:r>
          </w:p>
        </w:tc>
      </w:tr>
      <w:tr>
        <w:trPr>
          <w:trHeight w:val="628" w:hRule="atLeast"/>
        </w:trPr>
        <w:tc>
          <w:tcPr>
            <w:tcW w:w="881" w:type="dxa"/>
            <w:vAlign w:val="top"/>
          </w:tcPr>
          <w:p>
            <w:pPr>
              <w:ind w:left="314"/>
              <w:spacing w:before="208" w:line="187" w:lineRule="auto"/>
              <w:rPr>
                <w:rFonts w:ascii="SimSun" w:hAnsi="SimSun" w:eastAsia="SimSun" w:cs="SimSun"/>
                <w:sz w:val="31"/>
                <w:szCs w:val="31"/>
              </w:rPr>
            </w:pPr>
            <w:r>
              <w:rPr>
                <w:rFonts w:ascii="SimSun" w:hAnsi="SimSun" w:eastAsia="SimSun" w:cs="SimSun"/>
                <w:sz w:val="31"/>
                <w:szCs w:val="31"/>
                <w:spacing w:val="-13"/>
              </w:rPr>
              <w:t>14</w:t>
            </w:r>
          </w:p>
        </w:tc>
        <w:tc>
          <w:tcPr>
            <w:tcW w:w="8233" w:type="dxa"/>
            <w:vAlign w:val="top"/>
          </w:tcPr>
          <w:p>
            <w:pPr>
              <w:pStyle w:val="TableText"/>
              <w:ind w:left="924"/>
              <w:spacing w:before="160" w:line="219" w:lineRule="auto"/>
              <w:rPr/>
            </w:pPr>
            <w:r>
              <w:rPr>
                <w:spacing w:val="9"/>
              </w:rPr>
              <w:t>粤港澳大湾区国际商事仲裁中心建设路径研究</w:t>
            </w:r>
          </w:p>
        </w:tc>
      </w:tr>
      <w:tr>
        <w:trPr>
          <w:trHeight w:val="631" w:hRule="atLeast"/>
        </w:trPr>
        <w:tc>
          <w:tcPr>
            <w:tcW w:w="881" w:type="dxa"/>
            <w:vAlign w:val="top"/>
          </w:tcPr>
          <w:p>
            <w:pPr>
              <w:ind w:left="314"/>
              <w:spacing w:before="207" w:line="188" w:lineRule="auto"/>
              <w:rPr>
                <w:rFonts w:ascii="SimSun" w:hAnsi="SimSun" w:eastAsia="SimSun" w:cs="SimSun"/>
                <w:sz w:val="31"/>
                <w:szCs w:val="31"/>
              </w:rPr>
            </w:pPr>
            <w:r>
              <w:rPr>
                <w:rFonts w:ascii="SimSun" w:hAnsi="SimSun" w:eastAsia="SimSun" w:cs="SimSun"/>
                <w:sz w:val="31"/>
                <w:szCs w:val="31"/>
                <w:spacing w:val="-13"/>
              </w:rPr>
              <w:t>15</w:t>
            </w:r>
          </w:p>
        </w:tc>
        <w:tc>
          <w:tcPr>
            <w:tcW w:w="8233" w:type="dxa"/>
            <w:vAlign w:val="top"/>
          </w:tcPr>
          <w:p>
            <w:pPr>
              <w:pStyle w:val="TableText"/>
              <w:ind w:left="762"/>
              <w:spacing w:before="161" w:line="218" w:lineRule="auto"/>
              <w:rPr/>
            </w:pPr>
            <w:r>
              <w:rPr>
                <w:spacing w:val="9"/>
              </w:rPr>
              <w:t>广东制造业出海的产品质量问题研究与法治应对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"/>
          <w:pgSz w:w="11906" w:h="16839"/>
          <w:pgMar w:top="1431" w:right="1337" w:bottom="1695" w:left="1449" w:header="0" w:footer="1417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92"/>
        <w:rPr/>
      </w:pPr>
      <w:r/>
    </w:p>
    <w:p>
      <w:pPr>
        <w:spacing w:before="91"/>
        <w:rPr/>
      </w:pPr>
      <w:r/>
    </w:p>
    <w:tbl>
      <w:tblPr>
        <w:tblStyle w:val="TableNormal"/>
        <w:tblW w:w="911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81"/>
        <w:gridCol w:w="8233"/>
      </w:tblGrid>
      <w:tr>
        <w:trPr>
          <w:trHeight w:val="1256" w:hRule="atLeast"/>
        </w:trPr>
        <w:tc>
          <w:tcPr>
            <w:tcW w:w="881" w:type="dxa"/>
            <w:vAlign w:val="top"/>
          </w:tcPr>
          <w:p>
            <w:pPr>
              <w:spacing w:line="415" w:lineRule="auto"/>
              <w:rPr>
                <w:rFonts w:ascii="Arial"/>
                <w:sz w:val="21"/>
              </w:rPr>
            </w:pPr>
            <w:r/>
          </w:p>
          <w:p>
            <w:pPr>
              <w:ind w:left="314"/>
              <w:spacing w:before="101" w:line="188" w:lineRule="auto"/>
              <w:rPr>
                <w:rFonts w:ascii="SimSun" w:hAnsi="SimSun" w:eastAsia="SimSun" w:cs="SimSun"/>
                <w:sz w:val="31"/>
                <w:szCs w:val="31"/>
              </w:rPr>
            </w:pPr>
            <w:r>
              <w:rPr>
                <w:rFonts w:ascii="SimSun" w:hAnsi="SimSun" w:eastAsia="SimSun" w:cs="SimSun"/>
                <w:sz w:val="31"/>
                <w:szCs w:val="31"/>
                <w:spacing w:val="-13"/>
              </w:rPr>
              <w:t>16</w:t>
            </w:r>
          </w:p>
        </w:tc>
        <w:tc>
          <w:tcPr>
            <w:tcW w:w="8233" w:type="dxa"/>
            <w:vAlign w:val="top"/>
          </w:tcPr>
          <w:p>
            <w:pPr>
              <w:pStyle w:val="TableText"/>
              <w:ind w:left="3794" w:right="116" w:hanging="3671"/>
              <w:spacing w:before="161" w:line="323" w:lineRule="auto"/>
              <w:rPr/>
            </w:pPr>
            <w:r>
              <w:rPr>
                <w:spacing w:val="8"/>
              </w:rPr>
              <w:t>广东“</w:t>
            </w:r>
            <w:r>
              <w:rPr>
                <w:spacing w:val="-117"/>
              </w:rPr>
              <w:t xml:space="preserve"> </w:t>
            </w:r>
            <w:r>
              <w:rPr>
                <w:spacing w:val="8"/>
              </w:rPr>
              <w:t>三新”类企业跨境投资并购的法律风险与合规</w:t>
            </w:r>
            <w:r>
              <w:rPr>
                <w:spacing w:val="7"/>
              </w:rPr>
              <w:t>路径</w:t>
            </w:r>
            <w:r>
              <w:rPr/>
              <w:t xml:space="preserve"> </w:t>
            </w:r>
            <w:r>
              <w:rPr>
                <w:spacing w:val="7"/>
              </w:rPr>
              <w:t>研究</w:t>
            </w:r>
          </w:p>
        </w:tc>
      </w:tr>
      <w:tr>
        <w:trPr>
          <w:trHeight w:val="628" w:hRule="atLeast"/>
        </w:trPr>
        <w:tc>
          <w:tcPr>
            <w:tcW w:w="881" w:type="dxa"/>
            <w:vAlign w:val="top"/>
          </w:tcPr>
          <w:p>
            <w:pPr>
              <w:ind w:left="314"/>
              <w:spacing w:before="203" w:line="188" w:lineRule="auto"/>
              <w:rPr>
                <w:rFonts w:ascii="SimSun" w:hAnsi="SimSun" w:eastAsia="SimSun" w:cs="SimSun"/>
                <w:sz w:val="31"/>
                <w:szCs w:val="31"/>
              </w:rPr>
            </w:pPr>
            <w:r>
              <w:rPr>
                <w:rFonts w:ascii="SimSun" w:hAnsi="SimSun" w:eastAsia="SimSun" w:cs="SimSun"/>
                <w:sz w:val="31"/>
                <w:szCs w:val="31"/>
                <w:spacing w:val="-13"/>
              </w:rPr>
              <w:t>17</w:t>
            </w:r>
          </w:p>
        </w:tc>
        <w:tc>
          <w:tcPr>
            <w:tcW w:w="8233" w:type="dxa"/>
            <w:vAlign w:val="top"/>
          </w:tcPr>
          <w:p>
            <w:pPr>
              <w:pStyle w:val="TableText"/>
              <w:ind w:left="123"/>
              <w:spacing w:before="156" w:line="218" w:lineRule="auto"/>
              <w:rPr/>
            </w:pPr>
            <w:r>
              <w:rPr>
                <w:spacing w:val="9"/>
              </w:rPr>
              <w:t>广东“走出去”企业面临的反垄断法律风险及其应对研究</w:t>
            </w:r>
          </w:p>
        </w:tc>
      </w:tr>
      <w:tr>
        <w:trPr>
          <w:trHeight w:val="628" w:hRule="atLeast"/>
        </w:trPr>
        <w:tc>
          <w:tcPr>
            <w:tcW w:w="881" w:type="dxa"/>
            <w:vAlign w:val="top"/>
          </w:tcPr>
          <w:p>
            <w:pPr>
              <w:ind w:left="314"/>
              <w:spacing w:before="206" w:line="188" w:lineRule="auto"/>
              <w:rPr>
                <w:rFonts w:ascii="SimSun" w:hAnsi="SimSun" w:eastAsia="SimSun" w:cs="SimSun"/>
                <w:sz w:val="31"/>
                <w:szCs w:val="31"/>
              </w:rPr>
            </w:pPr>
            <w:r>
              <w:rPr>
                <w:rFonts w:ascii="SimSun" w:hAnsi="SimSun" w:eastAsia="SimSun" w:cs="SimSun"/>
                <w:sz w:val="31"/>
                <w:szCs w:val="31"/>
                <w:spacing w:val="-13"/>
              </w:rPr>
              <w:t>18</w:t>
            </w:r>
          </w:p>
        </w:tc>
        <w:tc>
          <w:tcPr>
            <w:tcW w:w="8233" w:type="dxa"/>
            <w:vAlign w:val="top"/>
          </w:tcPr>
          <w:p>
            <w:pPr>
              <w:pStyle w:val="TableText"/>
              <w:ind w:left="1083"/>
              <w:spacing w:before="156" w:line="220" w:lineRule="auto"/>
              <w:rPr/>
            </w:pPr>
            <w:r>
              <w:rPr>
                <w:spacing w:val="9"/>
              </w:rPr>
              <w:t>广东科创企业发展的若干涉外法治问题研究</w:t>
            </w:r>
          </w:p>
        </w:tc>
      </w:tr>
      <w:tr>
        <w:trPr>
          <w:trHeight w:val="628" w:hRule="atLeast"/>
        </w:trPr>
        <w:tc>
          <w:tcPr>
            <w:tcW w:w="881" w:type="dxa"/>
            <w:vAlign w:val="top"/>
          </w:tcPr>
          <w:p>
            <w:pPr>
              <w:ind w:left="314"/>
              <w:spacing w:before="206" w:line="188" w:lineRule="auto"/>
              <w:rPr>
                <w:rFonts w:ascii="SimSun" w:hAnsi="SimSun" w:eastAsia="SimSun" w:cs="SimSun"/>
                <w:sz w:val="31"/>
                <w:szCs w:val="31"/>
              </w:rPr>
            </w:pPr>
            <w:r>
              <w:rPr>
                <w:rFonts w:ascii="SimSun" w:hAnsi="SimSun" w:eastAsia="SimSun" w:cs="SimSun"/>
                <w:sz w:val="31"/>
                <w:szCs w:val="31"/>
                <w:spacing w:val="-13"/>
              </w:rPr>
              <w:t>19</w:t>
            </w:r>
          </w:p>
        </w:tc>
        <w:tc>
          <w:tcPr>
            <w:tcW w:w="8233" w:type="dxa"/>
            <w:vAlign w:val="top"/>
          </w:tcPr>
          <w:p>
            <w:pPr>
              <w:pStyle w:val="TableText"/>
              <w:ind w:left="1251"/>
              <w:spacing w:before="160" w:line="218" w:lineRule="auto"/>
              <w:rPr/>
            </w:pPr>
            <w:r>
              <w:rPr>
                <w:spacing w:val="8"/>
              </w:rPr>
              <w:t>跨境电商知识产权问题中小企业应对指引</w:t>
            </w:r>
          </w:p>
        </w:tc>
      </w:tr>
      <w:tr>
        <w:trPr>
          <w:trHeight w:val="633" w:hRule="atLeast"/>
        </w:trPr>
        <w:tc>
          <w:tcPr>
            <w:tcW w:w="881" w:type="dxa"/>
            <w:vAlign w:val="top"/>
          </w:tcPr>
          <w:p>
            <w:pPr>
              <w:ind w:left="294"/>
              <w:spacing w:before="209" w:line="187" w:lineRule="auto"/>
              <w:rPr>
                <w:rFonts w:ascii="SimSun" w:hAnsi="SimSun" w:eastAsia="SimSun" w:cs="SimSun"/>
                <w:sz w:val="31"/>
                <w:szCs w:val="31"/>
              </w:rPr>
            </w:pPr>
            <w:r>
              <w:rPr>
                <w:rFonts w:ascii="SimSun" w:hAnsi="SimSun" w:eastAsia="SimSun" w:cs="SimSun"/>
                <w:sz w:val="31"/>
                <w:szCs w:val="31"/>
                <w:spacing w:val="-3"/>
              </w:rPr>
              <w:t>20</w:t>
            </w:r>
          </w:p>
        </w:tc>
        <w:tc>
          <w:tcPr>
            <w:tcW w:w="8233" w:type="dxa"/>
            <w:vAlign w:val="top"/>
          </w:tcPr>
          <w:p>
            <w:pPr>
              <w:pStyle w:val="TableText"/>
              <w:ind w:left="762"/>
              <w:spacing w:before="159" w:line="220" w:lineRule="auto"/>
              <w:rPr/>
            </w:pPr>
            <w:r>
              <w:rPr>
                <w:spacing w:val="9"/>
              </w:rPr>
              <w:t>广东出海企业在东道国的用工法律风险防范研究</w:t>
            </w:r>
          </w:p>
        </w:tc>
      </w:tr>
    </w:tbl>
    <w:p>
      <w:pPr>
        <w:rPr>
          <w:rFonts w:ascii="Arial"/>
          <w:sz w:val="21"/>
        </w:rPr>
      </w:pPr>
      <w:r/>
    </w:p>
    <w:sectPr>
      <w:footerReference w:type="default" r:id="rId2"/>
      <w:pgSz w:w="11906" w:h="16839"/>
      <w:pgMar w:top="1431" w:right="1337" w:bottom="1693" w:left="1449" w:header="0" w:footer="1417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26"/>
      <w:spacing w:before="1" w:line="176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6"/>
      </w:rPr>
      <w:t>—</w:t>
    </w:r>
    <w:r>
      <w:rPr>
        <w:rFonts w:ascii="SimSun" w:hAnsi="SimSun" w:eastAsia="SimSun" w:cs="SimSun"/>
        <w:sz w:val="28"/>
        <w:szCs w:val="28"/>
        <w:spacing w:val="8"/>
      </w:rPr>
      <w:t xml:space="preserve"> </w:t>
    </w:r>
    <w:r>
      <w:rPr>
        <w:rFonts w:ascii="SimSun" w:hAnsi="SimSun" w:eastAsia="SimSun" w:cs="SimSun"/>
        <w:sz w:val="28"/>
        <w:szCs w:val="28"/>
        <w:spacing w:val="-6"/>
      </w:rPr>
      <w:t>4</w:t>
    </w:r>
    <w:r>
      <w:rPr>
        <w:rFonts w:ascii="SimSun" w:hAnsi="SimSun" w:eastAsia="SimSun" w:cs="SimSun"/>
        <w:sz w:val="28"/>
        <w:szCs w:val="28"/>
        <w:spacing w:val="9"/>
      </w:rPr>
      <w:t xml:space="preserve"> </w:t>
    </w:r>
    <w:r>
      <w:rPr>
        <w:rFonts w:ascii="SimSun" w:hAnsi="SimSun" w:eastAsia="SimSun" w:cs="SimSun"/>
        <w:sz w:val="28"/>
        <w:szCs w:val="28"/>
        <w:spacing w:val="-6"/>
      </w:rPr>
      <w:t>—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732"/>
      <w:spacing w:line="175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8"/>
      </w:rPr>
      <w:t>—</w:t>
    </w:r>
    <w:r>
      <w:rPr>
        <w:rFonts w:ascii="SimSun" w:hAnsi="SimSun" w:eastAsia="SimSun" w:cs="SimSun"/>
        <w:sz w:val="28"/>
        <w:szCs w:val="28"/>
        <w:spacing w:val="15"/>
      </w:rPr>
      <w:t xml:space="preserve"> </w:t>
    </w:r>
    <w:r>
      <w:rPr>
        <w:rFonts w:ascii="SimSun" w:hAnsi="SimSun" w:eastAsia="SimSun" w:cs="SimSun"/>
        <w:sz w:val="28"/>
        <w:szCs w:val="28"/>
        <w:spacing w:val="-8"/>
      </w:rPr>
      <w:t>5</w:t>
    </w:r>
    <w:r>
      <w:rPr>
        <w:rFonts w:ascii="SimSun" w:hAnsi="SimSun" w:eastAsia="SimSun" w:cs="SimSun"/>
        <w:sz w:val="28"/>
        <w:szCs w:val="28"/>
        <w:spacing w:val="6"/>
      </w:rPr>
      <w:t xml:space="preserve"> </w:t>
    </w:r>
    <w:r>
      <w:rPr>
        <w:rFonts w:ascii="SimSun" w:hAnsi="SimSun" w:eastAsia="SimSun" w:cs="SimSun"/>
        <w:sz w:val="28"/>
        <w:szCs w:val="28"/>
        <w:spacing w:val="-8"/>
      </w:rPr>
      <w:t>—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TableText">
    <w:name w:val="Table Text"/>
    <w:basedOn w:val="Normal"/>
    <w:semiHidden/>
    <w:qFormat/>
    <w:pPr/>
    <w:rPr>
      <w:rFonts w:ascii="FangSong_GB2312" w:hAnsi="FangSong_GB2312" w:eastAsia="FangSong_GB2312" w:cs="FangSong_GB2312"/>
      <w:sz w:val="31"/>
      <w:szCs w:val="3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styles" Target="styles.xml"/><Relationship Id="rId3" Type="http://schemas.openxmlformats.org/officeDocument/2006/relationships/settings" Target="settings.xml"/><Relationship Id="rId2" Type="http://schemas.openxmlformats.org/officeDocument/2006/relationships/footer" Target="footer2.xml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2026-07-30T15:05:27</vt:filetime>
  </property>
</Properties>
</file>