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华文中宋" w:hAnsi="华文中宋" w:eastAsia="华文中宋" w:cs="华文中宋"/>
          <w:b/>
          <w:bCs w:val="0"/>
          <w:color w:val="C00000"/>
          <w:sz w:val="48"/>
          <w:szCs w:val="48"/>
        </w:rPr>
      </w:pPr>
      <w:r>
        <w:rPr>
          <w:rFonts w:hint="eastAsia" w:ascii="华文中宋" w:hAnsi="华文中宋" w:eastAsia="华文中宋" w:cs="华文中宋"/>
          <w:b/>
          <w:bCs w:val="0"/>
          <w:color w:val="C00000"/>
          <w:sz w:val="48"/>
          <w:szCs w:val="48"/>
        </w:rPr>
        <w:t>惠州市高新技术与民营科技企业协会</w:t>
      </w: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32"/>
          <w:szCs w:val="32"/>
        </w:rPr>
        <mc:AlternateContent>
          <mc:Choice Requires="wps">
            <w:drawing>
              <wp:anchor distT="0" distB="0" distL="114300" distR="114300" simplePos="0" relativeHeight="251659264" behindDoc="1" locked="0" layoutInCell="1" allowOverlap="1">
                <wp:simplePos x="0" y="0"/>
                <wp:positionH relativeFrom="column">
                  <wp:posOffset>-233045</wp:posOffset>
                </wp:positionH>
                <wp:positionV relativeFrom="paragraph">
                  <wp:posOffset>33655</wp:posOffset>
                </wp:positionV>
                <wp:extent cx="5723255" cy="5715"/>
                <wp:effectExtent l="0" t="13970" r="6985" b="26035"/>
                <wp:wrapThrough wrapText="bothSides">
                  <wp:wrapPolygon>
                    <wp:start x="0" y="7200"/>
                    <wp:lineTo x="0" y="72000"/>
                    <wp:lineTo x="21569" y="72000"/>
                    <wp:lineTo x="21569" y="7200"/>
                    <wp:lineTo x="0" y="7200"/>
                  </wp:wrapPolygon>
                </wp:wrapThrough>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723255" cy="5715"/>
                        </a:xfrm>
                        <a:prstGeom prst="line">
                          <a:avLst/>
                        </a:prstGeom>
                        <a:noFill/>
                        <a:ln w="28575" cmpd="thickThin">
                          <a:solidFill>
                            <a:srgbClr val="C00000"/>
                          </a:solidFill>
                          <a:prstDash val="solid"/>
                          <a:round/>
                        </a:ln>
                        <a:effectLst/>
                      </wps:spPr>
                      <wps:bodyPr/>
                    </wps:wsp>
                  </a:graphicData>
                </a:graphic>
              </wp:anchor>
            </w:drawing>
          </mc:Choice>
          <mc:Fallback>
            <w:pict>
              <v:line id="_x0000_s1026" o:spid="_x0000_s1026" o:spt="20" style="position:absolute;left:0pt;flip:y;margin-left:-18.35pt;margin-top:2.65pt;height:0.45pt;width:450.65pt;mso-wrap-distance-left:9pt;mso-wrap-distance-right:9pt;z-index:-251657216;mso-width-relative:page;mso-height-relative:page;" filled="f" stroked="t" coordsize="21600,21600" wrapcoords="0 7200 0 72000 21569 72000 21569 7200 0 7200" o:gfxdata="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ezB1tcAAAAHAQAADwAAAAAAAAABACAAAAAiAAAAZHJzL2Rvd25yZXYueG1sUEsBAhQAFAAAAAgA&#10;h07iQO1v98/tAQAAogMAAA4AAAAAAAAAAQAgAAAAJgEAAGRycy9lMm9Eb2MueG1sUEsFBgAAAAAG&#10;AAYAWQEAAIUFAAAAAA==&#10;">
                <v:fill on="f" focussize="0,0"/>
                <v:stroke weight="2.25pt" color="#C00000" linestyle="thickThin" joinstyle="round"/>
                <v:imagedata o:title=""/>
                <o:lock v:ext="edit" aspectratio="f"/>
                <w10:wrap type="through"/>
              </v:line>
            </w:pict>
          </mc:Fallback>
        </mc:AlternateContent>
      </w:r>
    </w:p>
    <w:p>
      <w:pPr>
        <w:jc w:val="center"/>
        <w:rPr>
          <w:rFonts w:hint="eastAsia" w:ascii="华文中宋" w:hAnsi="华文中宋" w:eastAsia="华文中宋" w:cs="华文中宋"/>
          <w:sz w:val="44"/>
          <w:szCs w:val="44"/>
          <w:lang w:eastAsia="zh-CN"/>
        </w:rPr>
      </w:pPr>
      <w:r>
        <w:rPr>
          <w:rFonts w:hint="eastAsia" w:ascii="华文中宋" w:hAnsi="华文中宋" w:eastAsia="华文中宋" w:cs="华文中宋"/>
          <w:sz w:val="44"/>
          <w:szCs w:val="44"/>
        </w:rPr>
        <w:t>“东江之星”科学技术奖奖励办法</w:t>
      </w:r>
      <w:r>
        <w:rPr>
          <w:rFonts w:hint="eastAsia" w:ascii="华文中宋" w:hAnsi="华文中宋" w:eastAsia="华文中宋" w:cs="华文中宋"/>
          <w:sz w:val="44"/>
          <w:szCs w:val="44"/>
          <w:lang w:eastAsia="zh-CN"/>
        </w:rPr>
        <w:t>（</w:t>
      </w:r>
      <w:r>
        <w:rPr>
          <w:rFonts w:hint="eastAsia" w:ascii="华文中宋" w:hAnsi="华文中宋" w:eastAsia="华文中宋" w:cs="华文中宋"/>
          <w:sz w:val="44"/>
          <w:szCs w:val="44"/>
          <w:lang w:val="en-US" w:eastAsia="zh-CN"/>
        </w:rPr>
        <w:t>暂行</w:t>
      </w:r>
      <w:r>
        <w:rPr>
          <w:rFonts w:hint="eastAsia" w:ascii="华文中宋" w:hAnsi="华文中宋" w:eastAsia="华文中宋" w:cs="华文中宋"/>
          <w:sz w:val="44"/>
          <w:szCs w:val="44"/>
          <w:lang w:eastAsia="zh-CN"/>
        </w:rPr>
        <w:t>）</w:t>
      </w:r>
    </w:p>
    <w:p>
      <w:pPr>
        <w:jc w:val="center"/>
        <w:rPr>
          <w:rFonts w:ascii="黑体" w:hAnsi="黑体" w:eastAsia="黑体" w:cs="黑体"/>
          <w:b/>
          <w:bCs/>
          <w:sz w:val="32"/>
          <w:szCs w:val="32"/>
        </w:rPr>
      </w:pPr>
      <w:r>
        <w:rPr>
          <w:rFonts w:hint="eastAsia" w:ascii="黑体" w:hAnsi="黑体" w:eastAsia="黑体" w:cs="黑体"/>
          <w:b/>
          <w:bCs/>
          <w:sz w:val="32"/>
          <w:szCs w:val="32"/>
        </w:rPr>
        <w:t>第一章  总 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提高惠州企业的科技创新能力，促进科技成果产业化，充分调动广大科技工作者的积极性和创造性，表彰和鼓励为我市科技发展做出突出贡献的单位和个人，根据《科技部关于进一步鼓励和规范社会力量设立科学技术奖的指导意见》（国科发奖〔2017〕196号）和《广东省人民政府办公厅关于印发广东省关于深化科技奖励制度改革方案的通知（粤府办〔2018〕33号）》的有关规定，惠州市高新技术与民营科技企业协会决定设立“东江之星”科学技术奖，特制定本办法。</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本办法适用于“东江之星”科学技术奖的申报、推荐、评审、公示、授奖等各项活动。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“东江之星”科学技术奖是面向在我市科学研究、技术开发、科技成果转化、高新技术产业化等科技活动中做出突出贡献的单位和个人。</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“东江之星”科学技术奖奖励工作遵循公开、公平、公正原则，其评审和表彰工作不受任何组织或个人的非法干涉。</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sz w:val="32"/>
          <w:szCs w:val="32"/>
        </w:rPr>
        <w:t xml:space="preserve">  “东江之星”科学技术奖奖励工作设置奖励组织委员会（以下简称组委会），负责对全面工作进行管理。聘请有关方面的专家、学者等组成评审委员会和监督委员会，分别负责“东江之星”科学技术奖的评审工作和全程监督工作。“东江之星”科学技术奖工作办公室设在惠州市高新技术与民营科技企业协会，负责“东江之星”科学技术奖申报及评审的组织工作。</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“东江之星”科学技术奖奖项每年组织申报、评审、奖励一次，奖励标准根据当年度经费进行规划。</w:t>
      </w:r>
    </w:p>
    <w:p>
      <w:pPr>
        <w:spacing w:line="560" w:lineRule="exact"/>
        <w:rPr>
          <w:rFonts w:ascii="仿宋_GB2312" w:hAnsi="仿宋_GB2312" w:eastAsia="仿宋_GB2312" w:cs="仿宋_GB2312"/>
          <w:sz w:val="32"/>
          <w:szCs w:val="32"/>
        </w:rPr>
      </w:pPr>
    </w:p>
    <w:p>
      <w:pPr>
        <w:numPr>
          <w:ilvl w:val="0"/>
          <w:numId w:val="1"/>
        </w:numPr>
        <w:spacing w:line="560" w:lineRule="exact"/>
        <w:jc w:val="center"/>
        <w:rPr>
          <w:rFonts w:ascii="黑体" w:hAnsi="黑体" w:eastAsia="黑体" w:cs="黑体"/>
          <w:b/>
          <w:bCs/>
          <w:sz w:val="32"/>
          <w:szCs w:val="32"/>
        </w:rPr>
      </w:pPr>
      <w:r>
        <w:rPr>
          <w:rFonts w:hint="eastAsia" w:ascii="黑体" w:hAnsi="黑体" w:eastAsia="黑体" w:cs="黑体"/>
          <w:b/>
          <w:bCs/>
          <w:sz w:val="32"/>
          <w:szCs w:val="32"/>
        </w:rPr>
        <w:t>奖励范围</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“东江之星”科学技术奖授予以下二类主体：</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（一）授予在我市应用推广先进科学技术成果，为促进科技进步和经济社会发展，做出突出贡献的</w:t>
      </w:r>
      <w:r>
        <w:rPr>
          <w:rFonts w:hint="eastAsia" w:ascii="仿宋_GB2312" w:hAnsi="仿宋_GB2312" w:eastAsia="仿宋_GB2312" w:cs="仿宋_GB2312"/>
          <w:b/>
          <w:bCs/>
          <w:sz w:val="32"/>
          <w:szCs w:val="32"/>
        </w:rPr>
        <w:t>组织</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在实施技术开发项目中，完成重大科技创新、科技成果转化，创造显著经济效益的。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在实施社会公益项目中，长期从事科学技术基础研究工作和社会公益性科学技术事业，经过实践检验，创造显著社会效益的。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在实施创新服务项目中，为社会自主创新活动开展提供关键共性技术研究开发、技术咨询、技术交易转让等服务，推进创新要素的流动、组合、集成和共享，取得显著经济和社会效益的。</w:t>
      </w:r>
    </w:p>
    <w:p>
      <w:pPr>
        <w:spacing w:line="560" w:lineRule="exact"/>
        <w:ind w:firstLine="640"/>
        <w:rPr>
          <w:rFonts w:ascii="仿宋" w:hAnsi="仿宋" w:eastAsia="仿宋" w:cs="仿宋_GB2312"/>
          <w:sz w:val="32"/>
          <w:szCs w:val="32"/>
        </w:rPr>
      </w:pPr>
      <w:r>
        <w:rPr>
          <w:rFonts w:hint="eastAsia" w:ascii="仿宋" w:hAnsi="仿宋" w:eastAsia="仿宋" w:cs="黑体"/>
          <w:sz w:val="32"/>
          <w:szCs w:val="32"/>
        </w:rPr>
        <w:t>（二）授予在我市开展科技自主创新，取得重要科技成果</w:t>
      </w:r>
      <w:r>
        <w:rPr>
          <w:rFonts w:hint="eastAsia" w:ascii="仿宋" w:hAnsi="仿宋" w:eastAsia="仿宋" w:cs="仿宋_GB2312"/>
          <w:sz w:val="32"/>
          <w:szCs w:val="32"/>
        </w:rPr>
        <w:t>的</w:t>
      </w:r>
      <w:r>
        <w:rPr>
          <w:rFonts w:hint="eastAsia" w:ascii="仿宋" w:hAnsi="仿宋" w:eastAsia="仿宋" w:cs="仿宋_GB2312"/>
          <w:b/>
          <w:bCs/>
          <w:sz w:val="32"/>
          <w:szCs w:val="32"/>
        </w:rPr>
        <w:t>组织</w:t>
      </w:r>
      <w:r>
        <w:rPr>
          <w:rFonts w:hint="eastAsia" w:ascii="仿宋" w:hAnsi="仿宋" w:eastAsia="仿宋" w:cs="仿宋_GB2312"/>
          <w:sz w:val="32"/>
          <w:szCs w:val="32"/>
        </w:rPr>
        <w:t>：</w:t>
      </w:r>
    </w:p>
    <w:p>
      <w:pPr>
        <w:spacing w:line="560" w:lineRule="exact"/>
        <w:ind w:firstLine="640"/>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黑体"/>
          <w:sz w:val="32"/>
          <w:szCs w:val="32"/>
        </w:rPr>
        <w:t>、其科技项目</w:t>
      </w:r>
      <w:r>
        <w:rPr>
          <w:rFonts w:hint="eastAsia" w:ascii="仿宋" w:hAnsi="仿宋" w:eastAsia="仿宋" w:cs="仿宋_GB2312"/>
          <w:sz w:val="32"/>
          <w:szCs w:val="32"/>
        </w:rPr>
        <w:t>具有较强的前瞻性和探索性；</w:t>
      </w:r>
    </w:p>
    <w:p>
      <w:pPr>
        <w:spacing w:line="560" w:lineRule="exact"/>
        <w:ind w:firstLine="64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、其科技项目具有显著的借鉴、示范和带动作用。</w:t>
      </w:r>
    </w:p>
    <w:p>
      <w:pPr>
        <w:spacing w:line="560" w:lineRule="exact"/>
        <w:ind w:firstLine="640"/>
        <w:rPr>
          <w:rFonts w:ascii="仿宋" w:hAnsi="仿宋" w:eastAsia="仿宋" w:cs="仿宋_GB2312"/>
          <w:sz w:val="32"/>
          <w:szCs w:val="32"/>
        </w:rPr>
      </w:pP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第三章  奖励设置、评审标准与数量</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“东江之星”科学技术奖包括以下类别：</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（一）科技进步奖（设：一等奖、二等奖）。</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（二）自主创新促进奖（不设级别）。</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科技进步奖（一等奖、二等奖）根据科技成果技术难度、创新程度、技术水平、对行业技术进步的推动作用及其经济效益和社会效益等综合评定获奖等级，评审标准如下：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等奖：技术难度大，有重大创新，总体技术水平和主要技术经济指标达到国际领先水平或国际先进水平，在行业中得到广泛应用或对行业技术进步具有显著的指导作用，并取得重大的经济效益和社会效益；申报项目的科技成果经2年及以上实际应用，并达到预期效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二等奖：技术难度较大，有较大创新，总体技术水平和主要技术经济指标达到国内领先水平，在行业中得到较大范围的应用或对行业技术进步具有明显的指导作用，并取得显著的经济效益和社会效益；</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ascii="仿宋_GB2312" w:hAnsi="仿宋_GB2312" w:eastAsia="仿宋_GB2312" w:cs="仿宋_GB2312"/>
          <w:sz w:val="32"/>
          <w:szCs w:val="32"/>
        </w:rPr>
        <w:t xml:space="preserve"> 自主创新促进奖</w:t>
      </w:r>
      <w:r>
        <w:rPr>
          <w:rFonts w:hint="eastAsia" w:ascii="仿宋_GB2312" w:hAnsi="仿宋_GB2312" w:eastAsia="仿宋_GB2312" w:cs="仿宋_GB2312"/>
          <w:sz w:val="32"/>
          <w:szCs w:val="32"/>
        </w:rPr>
        <w:t>旨在促进本市经济社会发展和增强自主创新能，鼓励通过各种科技创新形式积极探索、勇于创新并取得成果，评定标准如下：</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（一）有一定技术难度和创新，总体技术水平和主要技术经济指标达到国内先进水平；</w:t>
      </w:r>
      <w:r>
        <w:rPr>
          <w:rFonts w:ascii="仿宋_GB2312" w:hAnsi="仿宋_GB2312" w:eastAsia="仿宋_GB2312" w:cs="仿宋_GB2312"/>
          <w:sz w:val="32"/>
          <w:szCs w:val="32"/>
        </w:rPr>
        <w:t xml:space="preserve"> </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（二）所实施完成的科技项目具有较强的前瞻性和探索性；</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）所实施完成的科技项目具有显著的借鉴、示范和带动作用。</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奖项数量设置</w:t>
      </w:r>
      <w:bookmarkStart w:id="0" w:name="_GoBack"/>
      <w:bookmarkEnd w:id="0"/>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（一）科技进步奖：一等奖授奖数量不超过</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项；二等奖授奖数量不超过</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项。</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（二）自主创新促进奖不设等级，授奖数量不超过1</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项。</w:t>
      </w:r>
    </w:p>
    <w:p>
      <w:pPr>
        <w:spacing w:line="560" w:lineRule="exact"/>
        <w:ind w:firstLine="640" w:firstLineChars="200"/>
        <w:rPr>
          <w:rFonts w:hint="eastAsia" w:ascii="仿宋_GB2312" w:hAnsi="仿宋_GB2312" w:eastAsia="仿宋_GB2312" w:cs="仿宋_GB2312"/>
          <w:sz w:val="32"/>
          <w:szCs w:val="32"/>
        </w:rPr>
      </w:pPr>
    </w:p>
    <w:p>
      <w:pPr>
        <w:spacing w:line="560" w:lineRule="exact"/>
        <w:jc w:val="center"/>
        <w:rPr>
          <w:rFonts w:ascii="仿宋_GB2312" w:hAnsi="仿宋_GB2312" w:eastAsia="仿宋_GB2312" w:cs="仿宋_GB2312"/>
          <w:b/>
          <w:bCs/>
          <w:sz w:val="32"/>
          <w:szCs w:val="32"/>
        </w:rPr>
      </w:pPr>
      <w:r>
        <w:rPr>
          <w:rFonts w:hint="eastAsia" w:ascii="黑体" w:hAnsi="黑体" w:eastAsia="黑体" w:cs="黑体"/>
          <w:b/>
          <w:bCs/>
          <w:sz w:val="32"/>
          <w:szCs w:val="32"/>
        </w:rPr>
        <w:t>第四章  申报条件、要求与申报程序</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科技进步奖、自主创新促进奖的申报条件及要求：</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（一）第一完成者必须是在惠州依法纳税的独立法人企事业单位或其他组织，且经营2年以上。</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（二）申报项目技术创新性突出，技术指标先进，获得第三方科技成果评价并经过科学技术成果登记；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（三）申报项目的科技成果经</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年及以上实际应用，且取得较好的经济和社会效益；</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（四）申报项目核心技术拥有自主知识产权；</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（五）独家完成的科技成果由成果承担单位组织申报；两个或两个以上单位合作完成的科技成果，经各参与单位协商一致后，由成果主持单位组织申报。</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下列科技成果不得申报</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（一）涉及国防、国家安全保密事项的；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（二）已经申报过本奖项（无论是否获奖），没有新的重大改进和提高的；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（三）仅依赖个人经验和技能、技巧又不可重复实现的技术；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（四）已经获得国家、省科技奖的项目；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（五）关键技术没有自主知识产权及知识产权存在争议的项目。</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申报“东江之星”科学技术奖需填写《东江之星科学技术奖申报书》，并按要求提供真实、可靠材料。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第十五条</w:t>
      </w:r>
      <w:r>
        <w:rPr>
          <w:rFonts w:hint="eastAsia" w:ascii="仿宋_GB2312" w:hAnsi="仿宋_GB2312" w:eastAsia="仿宋_GB2312" w:cs="仿宋_GB2312"/>
          <w:sz w:val="32"/>
          <w:szCs w:val="32"/>
        </w:rPr>
        <w:t xml:space="preserve">  惠州市高新技术与民营科技企业协会原则上为本奖项的受理单位。</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受理单位应对申报项目进行认真审查，严格审核证明材料的完整性、真实性和可靠性，提出受理意见。</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第十七条  </w:t>
      </w:r>
      <w:r>
        <w:rPr>
          <w:rFonts w:hint="eastAsia" w:ascii="仿宋_GB2312" w:hAnsi="仿宋_GB2312" w:eastAsia="仿宋_GB2312" w:cs="仿宋_GB2312"/>
          <w:sz w:val="32"/>
          <w:szCs w:val="32"/>
        </w:rPr>
        <w:t>受理项目经”东江之星”科学技术奖工作办公室形式审查合格后，方可进入评审程序。</w:t>
      </w:r>
    </w:p>
    <w:p>
      <w:pPr>
        <w:spacing w:line="560" w:lineRule="exact"/>
        <w:jc w:val="center"/>
        <w:rPr>
          <w:rFonts w:ascii="黑体" w:hAnsi="黑体" w:eastAsia="黑体" w:cs="黑体"/>
          <w:b/>
          <w:bCs/>
          <w:sz w:val="32"/>
          <w:szCs w:val="32"/>
        </w:rPr>
      </w:pP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第五章  评审组织和程序</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第十八条</w:t>
      </w:r>
      <w:r>
        <w:rPr>
          <w:rFonts w:hint="eastAsia" w:ascii="仿宋_GB2312" w:hAnsi="仿宋_GB2312" w:eastAsia="仿宋_GB2312" w:cs="仿宋_GB2312"/>
          <w:sz w:val="32"/>
          <w:szCs w:val="32"/>
        </w:rPr>
        <w:t xml:space="preserve">  组委会的主要职责及组成</w:t>
      </w:r>
      <w:r>
        <w:rPr>
          <w:rFonts w:hint="eastAsia" w:ascii="仿宋_GB2312" w:hAnsi="仿宋_GB2312" w:eastAsia="仿宋_GB2312" w:cs="仿宋_GB2312"/>
          <w:sz w:val="32"/>
          <w:szCs w:val="32"/>
          <w:lang w:eastAsia="zh-CN"/>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聘请有关专家、学者组成评审委员会、监督委员会；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审定评审委员会的评审结果；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为完善”东江之星”科学技术奖奖励工作提供政策性意见和建议；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研究、解决评审工作中出现的其他重大问题；</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筹措奖励资金及活动经费。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组委会由惠州市高新技术与民营科技企业协会</w:t>
      </w:r>
      <w:r>
        <w:rPr>
          <w:rFonts w:hint="eastAsia" w:ascii="仿宋_GB2312" w:hAnsi="仿宋_GB2312" w:eastAsia="仿宋_GB2312" w:cs="仿宋_GB2312"/>
          <w:b/>
          <w:bCs/>
          <w:sz w:val="32"/>
          <w:szCs w:val="32"/>
        </w:rPr>
        <w:t>会长</w:t>
      </w:r>
      <w:r>
        <w:rPr>
          <w:rFonts w:hint="eastAsia" w:ascii="仿宋_GB2312" w:hAnsi="仿宋_GB2312" w:eastAsia="仿宋_GB2312" w:cs="仿宋_GB2312"/>
          <w:sz w:val="32"/>
          <w:szCs w:val="32"/>
        </w:rPr>
        <w:t>及相关领域的著名专家、学者、捐赠单位负责人共9人组成。</w:t>
      </w:r>
      <w:r>
        <w:rPr>
          <w:rFonts w:hint="eastAsia" w:ascii="仿宋_GB2312" w:hAnsi="仿宋_GB2312" w:eastAsia="仿宋_GB2312" w:cs="仿宋_GB2312"/>
          <w:b/>
          <w:bCs/>
          <w:sz w:val="32"/>
          <w:szCs w:val="32"/>
        </w:rPr>
        <w:t>主任委员</w:t>
      </w:r>
      <w:r>
        <w:rPr>
          <w:rFonts w:hint="eastAsia" w:ascii="仿宋_GB2312" w:hAnsi="仿宋_GB2312" w:eastAsia="仿宋_GB2312" w:cs="仿宋_GB2312"/>
          <w:sz w:val="32"/>
          <w:szCs w:val="32"/>
        </w:rPr>
        <w:t>由惠州市高新技术与民营科技企业协会会长担任，设副主任委员1-２人。</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第十九条</w:t>
      </w:r>
      <w:r>
        <w:rPr>
          <w:rFonts w:hint="eastAsia" w:ascii="仿宋_GB2312" w:hAnsi="仿宋_GB2312" w:eastAsia="仿宋_GB2312" w:cs="仿宋_GB2312"/>
          <w:sz w:val="32"/>
          <w:szCs w:val="32"/>
        </w:rPr>
        <w:t xml:space="preserve">  监督委员会的主要职责及组成</w:t>
      </w:r>
      <w:r>
        <w:rPr>
          <w:rFonts w:hint="eastAsia" w:ascii="仿宋_GB2312" w:hAnsi="仿宋_GB2312" w:eastAsia="仿宋_GB2312" w:cs="仿宋_GB2312"/>
          <w:sz w:val="32"/>
          <w:szCs w:val="32"/>
          <w:lang w:eastAsia="zh-CN"/>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对”东江之星”科学技术奖奖励工作进行全程监督；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受理、汇总投诉意见，为完善”东江之星”科学技术奖评选工作提出建设性意见和建议。</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由组委会聘请相关专家、学者等组成。</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xml:space="preserve">  评审委员会的主要职责及组成</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（一）主要职责：</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对”东江之星”科学技术奖提出的杰出贡献奖、科技进步奖、自主创新促进奖提名进行评定；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向组委会报告评审结果；</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对”东江之星”科学技术奖评审工作中出现的有关问题进行处理；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对完善”东江之星”科学技术奖奖励工作提供咨询意见。</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评审委员会由组委会聘请有关方面的专家、学者等组成，设主任委员１人、副主任委员２-４人、委员若干人。评审委员会委员实行聘任制，每届任期1年；</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评审委员会根据项目申报情况设立专业评审组，各专业评审组设组长１人、组员若干人。专业评审组专家从惠州市高新技术与民营科技企业协会专家库随机抽取，由组委会确定。</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（三）评审委员会委员、专业评审组专家应具备下列条件：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年龄原则上不超过70岁；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具有高级职称，长期从事相关科技研究或行业管理工作，熟悉本专业国内外现状和发展方向；</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熟悉科技奖项评审工作要求，能正确掌握评审标准；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具有良好的科学技术素养和职业道德，办事公正，全局观念强。</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第二十一条</w:t>
      </w:r>
      <w:r>
        <w:rPr>
          <w:rFonts w:hint="eastAsia" w:ascii="仿宋_GB2312" w:hAnsi="仿宋_GB2312" w:eastAsia="仿宋_GB2312" w:cs="仿宋_GB2312"/>
          <w:sz w:val="32"/>
          <w:szCs w:val="32"/>
        </w:rPr>
        <w:t xml:space="preserve">  “东江之星”科学技术奖评审程序和要求</w:t>
      </w:r>
      <w:r>
        <w:rPr>
          <w:rFonts w:hint="eastAsia" w:ascii="仿宋_GB2312" w:hAnsi="仿宋_GB2312" w:eastAsia="仿宋_GB2312" w:cs="仿宋_GB2312"/>
          <w:sz w:val="32"/>
          <w:szCs w:val="32"/>
          <w:lang w:eastAsia="zh-CN"/>
        </w:rPr>
        <w:t>：</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（一）评审程序</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评审阶段分为初评和终评：</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（1）初评由各专业评审组负责，采用会议评审方式，对本专业参评项目进行评审，向评审委员会提出提名结果，必要时安排集中答辩或现场考察。</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（2）终评由评审委员会负责，采用会议形式对初评提名结果进行评定。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组委会以会议方式对评审委员会的评审结果进行审定。</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（二）评审要求</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“东江之星”科学技术奖评审采取记名投票或打分方式。会议评审时实际到会评委人数不得少于应到评委人数的三分之二。</w:t>
      </w:r>
    </w:p>
    <w:p>
      <w:pPr>
        <w:spacing w:line="56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评审委员会委员、各专业评审组专家在评审过程中要保持客观、公正、独立，对出具的评审结论负责；对申报项目的评审情况和技术严格保守秘密，不得以任何方式泄露、剽窃评审项目的科技成果；评审委员会委员、各专业评审组专家为申报项目完成单位成员或完成人时，应回避对该项目的评审。</w:t>
      </w:r>
    </w:p>
    <w:p>
      <w:pPr>
        <w:spacing w:line="560" w:lineRule="exact"/>
        <w:jc w:val="center"/>
        <w:rPr>
          <w:rFonts w:ascii="黑体" w:hAnsi="黑体" w:eastAsia="黑体" w:cs="黑体"/>
          <w:b/>
          <w:bCs/>
          <w:sz w:val="32"/>
          <w:szCs w:val="32"/>
        </w:rPr>
      </w:pP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第六章  异议处理和授奖</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第二十二条</w:t>
      </w:r>
      <w:r>
        <w:rPr>
          <w:rFonts w:hint="eastAsia" w:ascii="仿宋_GB2312" w:hAnsi="仿宋_GB2312" w:eastAsia="仿宋_GB2312" w:cs="仿宋_GB2312"/>
          <w:sz w:val="32"/>
          <w:szCs w:val="32"/>
        </w:rPr>
        <w:t xml:space="preserve">  为提高”东江之星”科学技术奖的评审质量，评审工作坚持公开、公平、公正的原则，接受社会和行业的监督，本奖项实行公示和异议制度。</w:t>
      </w: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第二十三条</w:t>
      </w:r>
      <w:r>
        <w:rPr>
          <w:rFonts w:hint="eastAsia" w:ascii="仿宋_GB2312" w:hAnsi="仿宋_GB2312" w:eastAsia="仿宋_GB2312" w:cs="仿宋_GB2312"/>
          <w:sz w:val="32"/>
          <w:szCs w:val="32"/>
        </w:rPr>
        <w:t xml:space="preserve">  评审结果将在惠州市高新技术与民营科技企业协会网站及有关媒体上公示。自公示之日起10个工作日内为异议期。异议期内，任何单位或个人均可对获奖项目中的弄虚作假、剽窃等问题，向监督委员会提出书面异议。异议书应包括以下内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（一）异议内容及有关异议的事实依据；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（二）以单位名义提出异议的，应写明单位名称、法定代表人、联系人、通信地址、联系电话和传真，并加盖单位公章；</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（三）以个人名义提出异议的，应写明本人真实姓名、身份证号码、通信地址、联系电话，并由本人签名。</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第二十四条</w:t>
      </w:r>
      <w:r>
        <w:rPr>
          <w:rFonts w:hint="eastAsia" w:ascii="仿宋_GB2312" w:hAnsi="仿宋_GB2312" w:eastAsia="仿宋_GB2312" w:cs="仿宋_GB2312"/>
          <w:sz w:val="32"/>
          <w:szCs w:val="32"/>
        </w:rPr>
        <w:t xml:space="preserve">  异议内容由监督委员会负责受理、汇总，汇总结果交”东江之星”科学技术奖工作办公室调查并组织评审委员会提出处理意见，异议的处理结果报组委会审定。审定意见由监督委员会通知异议方和</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单位。</w:t>
      </w:r>
    </w:p>
    <w:p>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第二十五条</w:t>
      </w:r>
      <w:r>
        <w:rPr>
          <w:rFonts w:hint="eastAsia" w:ascii="仿宋_GB2312" w:hAnsi="仿宋_GB2312" w:eastAsia="仿宋_GB2312" w:cs="仿宋_GB2312"/>
          <w:sz w:val="32"/>
          <w:szCs w:val="32"/>
        </w:rPr>
        <w:t xml:space="preserve">  异议处理完成后，评审委员会将终审结果报组委会批准，由惠州市高新技术与民营科技企业协会网站公布，并为获奖单位和个人颁发荣誉证书。</w:t>
      </w:r>
    </w:p>
    <w:p>
      <w:pPr>
        <w:spacing w:line="560" w:lineRule="exact"/>
        <w:jc w:val="center"/>
        <w:rPr>
          <w:rFonts w:ascii="黑体" w:hAnsi="黑体" w:eastAsia="黑体" w:cs="黑体"/>
          <w:b/>
          <w:bCs/>
          <w:sz w:val="32"/>
          <w:szCs w:val="32"/>
        </w:rPr>
      </w:pP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第七章  罚则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第二十六条</w:t>
      </w:r>
      <w:r>
        <w:rPr>
          <w:rFonts w:hint="eastAsia" w:ascii="仿宋_GB2312" w:hAnsi="仿宋_GB2312" w:eastAsia="仿宋_GB2312" w:cs="仿宋_GB2312"/>
          <w:sz w:val="32"/>
          <w:szCs w:val="32"/>
        </w:rPr>
        <w:t xml:space="preserve">  申报单位和个人提交的申报材料必须实事求是，不得弄虚作假。评审结果公布后如发现实际情况与申报材料不符，将视情节轻重给予通报批评、降低奖励等级、撤销奖励等处罚，申报单位和个人在</w:t>
      </w:r>
      <w:r>
        <w:rPr>
          <w:rFonts w:hint="eastAsia" w:ascii="仿宋_GB2312" w:hAnsi="仿宋_GB2312" w:eastAsia="仿宋_GB2312" w:cs="仿宋_GB2312"/>
          <w:sz w:val="32"/>
          <w:szCs w:val="32"/>
          <w:lang w:val="en-US" w:eastAsia="zh-CN"/>
        </w:rPr>
        <w:t>三年</w:t>
      </w:r>
      <w:r>
        <w:rPr>
          <w:rFonts w:hint="eastAsia" w:ascii="仿宋_GB2312" w:hAnsi="仿宋_GB2312" w:eastAsia="仿宋_GB2312" w:cs="仿宋_GB2312"/>
          <w:sz w:val="32"/>
          <w:szCs w:val="32"/>
        </w:rPr>
        <w:t>内不得申报”东江之星”科学技术奖。</w:t>
      </w:r>
    </w:p>
    <w:p>
      <w:pPr>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第二十七条</w:t>
      </w:r>
      <w:r>
        <w:rPr>
          <w:rFonts w:hint="eastAsia" w:ascii="仿宋_GB2312" w:hAnsi="仿宋_GB2312" w:eastAsia="仿宋_GB2312" w:cs="仿宋_GB2312"/>
          <w:sz w:val="32"/>
          <w:szCs w:val="32"/>
        </w:rPr>
        <w:t xml:space="preserve">  对违反第二十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条第（二）款第2项规定的评审委员或专家取消评审资格。</w:t>
      </w:r>
    </w:p>
    <w:p>
      <w:pPr>
        <w:spacing w:line="560" w:lineRule="exact"/>
        <w:jc w:val="center"/>
        <w:rPr>
          <w:rFonts w:ascii="黑体" w:hAnsi="黑体" w:eastAsia="黑体" w:cs="黑体"/>
          <w:b/>
          <w:bCs/>
          <w:sz w:val="32"/>
          <w:szCs w:val="32"/>
        </w:rPr>
      </w:pPr>
    </w:p>
    <w:p>
      <w:pPr>
        <w:spacing w:line="560" w:lineRule="exact"/>
        <w:jc w:val="center"/>
        <w:rPr>
          <w:rFonts w:ascii="黑体" w:hAnsi="黑体" w:eastAsia="黑体" w:cs="黑体"/>
          <w:b/>
          <w:bCs/>
          <w:sz w:val="32"/>
          <w:szCs w:val="32"/>
        </w:rPr>
      </w:pPr>
      <w:r>
        <w:rPr>
          <w:rFonts w:hint="eastAsia" w:ascii="黑体" w:hAnsi="黑体" w:eastAsia="黑体" w:cs="黑体"/>
          <w:b/>
          <w:bCs/>
          <w:sz w:val="32"/>
          <w:szCs w:val="32"/>
        </w:rPr>
        <w:t>第八章  附则</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第二十八条</w:t>
      </w:r>
      <w:r>
        <w:rPr>
          <w:rFonts w:hint="eastAsia" w:ascii="仿宋_GB2312" w:hAnsi="仿宋_GB2312" w:eastAsia="仿宋_GB2312" w:cs="仿宋_GB2312"/>
          <w:sz w:val="32"/>
          <w:szCs w:val="32"/>
        </w:rPr>
        <w:t xml:space="preserve">  项目申报材料不退回。</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第二十九条</w:t>
      </w:r>
      <w:r>
        <w:rPr>
          <w:rFonts w:hint="eastAsia" w:ascii="仿宋_GB2312" w:hAnsi="仿宋_GB2312" w:eastAsia="仿宋_GB2312" w:cs="仿宋_GB2312"/>
          <w:sz w:val="32"/>
          <w:szCs w:val="32"/>
        </w:rPr>
        <w:t xml:space="preserve">  本办法自公布之日起施行，最终解析权归惠州市高新技术与民营科技企业协会所有。</w:t>
      </w:r>
    </w:p>
    <w:p>
      <w:pPr>
        <w:wordWrap w:val="0"/>
        <w:spacing w:line="560" w:lineRule="exact"/>
        <w:ind w:firstLine="640" w:firstLineChars="200"/>
        <w:jc w:val="right"/>
        <w:rPr>
          <w:rFonts w:ascii="仿宋_GB2312" w:hAnsi="仿宋_GB2312" w:eastAsia="仿宋_GB2312" w:cs="仿宋_GB2312"/>
          <w:bCs/>
          <w:sz w:val="32"/>
          <w:szCs w:val="32"/>
        </w:rPr>
      </w:pPr>
    </w:p>
    <w:p/>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102866"/>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428CE"/>
    <w:multiLevelType w:val="singleLevel"/>
    <w:tmpl w:val="580428CE"/>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4563AE"/>
    <w:rsid w:val="00012909"/>
    <w:rsid w:val="0002683A"/>
    <w:rsid w:val="000A0034"/>
    <w:rsid w:val="000E399E"/>
    <w:rsid w:val="00154819"/>
    <w:rsid w:val="001D006A"/>
    <w:rsid w:val="0029507B"/>
    <w:rsid w:val="002C0BB1"/>
    <w:rsid w:val="005159FF"/>
    <w:rsid w:val="005B42CB"/>
    <w:rsid w:val="00672147"/>
    <w:rsid w:val="006A6CC8"/>
    <w:rsid w:val="00782096"/>
    <w:rsid w:val="00815788"/>
    <w:rsid w:val="008D0C87"/>
    <w:rsid w:val="00944B80"/>
    <w:rsid w:val="0096493E"/>
    <w:rsid w:val="00E5454E"/>
    <w:rsid w:val="00E65BA3"/>
    <w:rsid w:val="00EC6464"/>
    <w:rsid w:val="02CF4679"/>
    <w:rsid w:val="059A05F7"/>
    <w:rsid w:val="194563AE"/>
    <w:rsid w:val="23302452"/>
    <w:rsid w:val="26A47D7E"/>
    <w:rsid w:val="277C6A2B"/>
    <w:rsid w:val="2B1B2009"/>
    <w:rsid w:val="2B5C0EE4"/>
    <w:rsid w:val="2CC27FFA"/>
    <w:rsid w:val="2F5D0C13"/>
    <w:rsid w:val="36C03A05"/>
    <w:rsid w:val="433F1497"/>
    <w:rsid w:val="43FB08A0"/>
    <w:rsid w:val="48442448"/>
    <w:rsid w:val="589939FE"/>
    <w:rsid w:val="5E4C0365"/>
    <w:rsid w:val="634948B1"/>
    <w:rsid w:val="65157E13"/>
    <w:rsid w:val="6D0F2888"/>
    <w:rsid w:val="713159F6"/>
    <w:rsid w:val="75B522A7"/>
    <w:rsid w:val="7C8875E1"/>
    <w:rsid w:val="7CDA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7">
    <w:name w:val="页眉 字符"/>
    <w:basedOn w:val="6"/>
    <w:link w:val="3"/>
    <w:qFormat/>
    <w:uiPriority w:val="0"/>
    <w:rPr>
      <w:rFonts w:ascii="Times New Roman" w:hAnsi="Times New Roman" w:eastAsia="宋体" w:cs="Times New Roman"/>
      <w:kern w:val="2"/>
      <w:sz w:val="18"/>
      <w:szCs w:val="18"/>
    </w:rPr>
  </w:style>
  <w:style w:type="character" w:customStyle="1" w:styleId="8">
    <w:name w:val="页脚 字符"/>
    <w:basedOn w:val="6"/>
    <w:link w:val="2"/>
    <w:qFormat/>
    <w:uiPriority w:val="99"/>
    <w:rPr>
      <w:rFonts w:ascii="Times New Roman" w:hAnsi="Times New Roman" w:eastAsia="宋体" w:cs="Times New Roman"/>
      <w:kern w:val="2"/>
      <w:sz w:val="18"/>
      <w:szCs w:val="18"/>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637</Words>
  <Characters>3632</Characters>
  <Lines>30</Lines>
  <Paragraphs>8</Paragraphs>
  <TotalTime>19</TotalTime>
  <ScaleCrop>false</ScaleCrop>
  <LinksUpToDate>false</LinksUpToDate>
  <CharactersWithSpaces>4261</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2019-09-19T01:34:00Z</dcterms:created>
  <dc:creator>文昊</dc:creator>
  <cp:lastModifiedBy>稻1401153231</cp:lastModifiedBy>
  <cp:lastPrinted>2019-09-27T06:36:00Z</cp:lastPrinted>
  <dcterms:modified xsi:type="dcterms:W3CDTF">2021-03-29T03:43:21Z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y fmtid="{D5CDD505-2E9C-101B-9397-08002B2CF9AE}" pid="3" name="ICV">
    <vt:lpwstr>2091C331180D432B8DAA8225756F8088</vt:lpwstr>
  </property>
</Properties>
</file>