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A741F">
      <w:pPr>
        <w:jc w:val="center"/>
        <w:rPr>
          <w:rFonts w:hint="eastAsia"/>
          <w:b/>
          <w:bCs/>
          <w:sz w:val="32"/>
          <w:szCs w:val="32"/>
        </w:rPr>
      </w:pPr>
      <w:bookmarkStart w:id="0" w:name="_Toc455650937"/>
      <w:r>
        <w:rPr>
          <w:rFonts w:hint="eastAsia"/>
          <w:b/>
          <w:bCs/>
          <w:sz w:val="32"/>
          <w:szCs w:val="32"/>
          <w:lang w:val="en-US" w:eastAsia="zh-CN"/>
        </w:rPr>
        <w:t>硕士研究生培养方案</w:t>
      </w:r>
      <w:r>
        <w:rPr>
          <w:rFonts w:hint="eastAsia"/>
          <w:b/>
          <w:bCs/>
          <w:sz w:val="32"/>
          <w:szCs w:val="32"/>
        </w:rPr>
        <w:t>制定流程</w:t>
      </w:r>
    </w:p>
    <w:p w14:paraId="4E72EAC1">
      <w:pPr>
        <w:ind w:firstLine="560" w:firstLineChars="200"/>
        <w:jc w:val="both"/>
        <w:rPr>
          <w:rFonts w:hint="eastAsia" w:ascii="宋体" w:hAnsi="宋体" w:eastAsia="宋体" w:cs="宋体"/>
          <w:sz w:val="28"/>
          <w:szCs w:val="28"/>
        </w:rPr>
      </w:pPr>
      <w:r>
        <w:rPr>
          <w:rFonts w:hint="eastAsia" w:ascii="宋体" w:hAnsi="宋体" w:eastAsia="宋体" w:cs="宋体"/>
          <w:spacing w:val="0"/>
          <w:kern w:val="0"/>
          <w:sz w:val="28"/>
          <w:szCs w:val="28"/>
          <w:fitText w:val="2520" w:id="140971550"/>
        </w:rPr>
        <w:t>（一）成立工作小组</w:t>
      </w:r>
    </w:p>
    <w:p w14:paraId="7AAE7DCF">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cs="宋体"/>
          <w:sz w:val="28"/>
          <w:szCs w:val="28"/>
          <w:lang w:eastAsia="zh-CN"/>
        </w:rPr>
        <w:t>二级学院</w:t>
      </w:r>
      <w:r>
        <w:rPr>
          <w:rFonts w:hint="eastAsia" w:ascii="宋体" w:hAnsi="宋体" w:eastAsia="宋体" w:cs="宋体"/>
          <w:sz w:val="28"/>
          <w:szCs w:val="28"/>
        </w:rPr>
        <w:t>应当组建研究生培养方案制定工作小组。工作小组由院长担任组长，全面统筹规划相关工作；分管研究生教育的副院长具体负责组织方案制定工作的实施推进。在工作开展过程中，应充分调动基层教学组织的积极性，发挥其专业优势，广泛收集各方意见，确保培养方案制定工作科学、全面、深入开展。</w:t>
      </w:r>
    </w:p>
    <w:p w14:paraId="2794EE1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（二）形成方案初稿</w:t>
      </w:r>
    </w:p>
    <w:p w14:paraId="38E4A894">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在制定培养方案时，应当开展深入调研工作。对标国内至少3个同专业培养方案，进行详细对比分析。在</w:t>
      </w:r>
      <w:r>
        <w:rPr>
          <w:rFonts w:hint="eastAsia" w:ascii="宋体" w:hAnsi="宋体" w:cs="宋体"/>
          <w:sz w:val="28"/>
          <w:szCs w:val="28"/>
          <w:lang w:val="en-US" w:eastAsia="zh-CN"/>
        </w:rPr>
        <w:t>本专业相关资料</w:t>
      </w:r>
      <w:r>
        <w:rPr>
          <w:rFonts w:hint="eastAsia" w:ascii="宋体" w:hAnsi="宋体" w:eastAsia="宋体" w:cs="宋体"/>
          <w:sz w:val="28"/>
          <w:szCs w:val="28"/>
        </w:rPr>
        <w:t>进行全面总结、梳理存在问题的基础上，系统论证，形成新的培养方案初稿、课程教学大纲以及制定说明。制定说明应涵盖以下内容：对</w:t>
      </w:r>
      <w:r>
        <w:rPr>
          <w:rFonts w:hint="eastAsia" w:ascii="宋体" w:hAnsi="宋体" w:cs="宋体"/>
          <w:sz w:val="28"/>
          <w:szCs w:val="28"/>
          <w:lang w:val="en-US" w:eastAsia="zh-CN"/>
        </w:rPr>
        <w:t>专业</w:t>
      </w:r>
      <w:r>
        <w:rPr>
          <w:rFonts w:hint="eastAsia" w:ascii="宋体" w:hAnsi="宋体" w:eastAsia="宋体" w:cs="宋体"/>
          <w:sz w:val="28"/>
          <w:szCs w:val="28"/>
        </w:rPr>
        <w:t>的实际情况进行客观阐述；明确本次制定过程中主要的内容，清晰呈现</w:t>
      </w:r>
      <w:r>
        <w:rPr>
          <w:rFonts w:hint="eastAsia" w:ascii="宋体" w:hAnsi="宋体" w:cs="宋体"/>
          <w:sz w:val="28"/>
          <w:szCs w:val="28"/>
          <w:lang w:val="en-US" w:eastAsia="zh-CN"/>
        </w:rPr>
        <w:t>撰写</w:t>
      </w:r>
      <w:r>
        <w:rPr>
          <w:rFonts w:hint="eastAsia" w:ascii="宋体" w:hAnsi="宋体" w:eastAsia="宋体" w:cs="宋体"/>
          <w:sz w:val="28"/>
          <w:szCs w:val="28"/>
        </w:rPr>
        <w:t>思路；分析新方案与国内同专业培养方案相比的优势与特色。</w:t>
      </w:r>
    </w:p>
    <w:p w14:paraId="7DE9A36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（三）提交专家论证</w:t>
      </w:r>
    </w:p>
    <w:p w14:paraId="670ABC0C">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应邀请校外专家对培养方案初稿进行全面、深入的审议与论证。校外专家团队中，至少应包含 1名相应专业的教指委专家和 1 位相关行（企）业资深专家。专家论证结束后，应当出具书面修改意见。</w:t>
      </w:r>
      <w:r>
        <w:rPr>
          <w:rFonts w:hint="eastAsia" w:ascii="宋体" w:hAnsi="宋体" w:cs="宋体"/>
          <w:sz w:val="28"/>
          <w:szCs w:val="28"/>
          <w:lang w:eastAsia="zh-CN"/>
        </w:rPr>
        <w:t>二级学院</w:t>
      </w:r>
      <w:r>
        <w:rPr>
          <w:rFonts w:hint="eastAsia" w:ascii="宋体" w:hAnsi="宋体" w:eastAsia="宋体" w:cs="宋体"/>
          <w:sz w:val="28"/>
          <w:szCs w:val="28"/>
        </w:rPr>
        <w:t>需依据专家论证意见，对培养方案进行针对性完善，确保培养方案符合专业发展趋势与实际需求。</w:t>
      </w:r>
    </w:p>
    <w:p w14:paraId="3CF8A7C4">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（四）参加答辩评审</w:t>
      </w:r>
    </w:p>
    <w:p w14:paraId="7AB617D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学校研究生</w:t>
      </w:r>
      <w:r>
        <w:rPr>
          <w:rFonts w:hint="eastAsia" w:ascii="宋体" w:hAnsi="宋体" w:cs="宋体"/>
          <w:sz w:val="28"/>
          <w:szCs w:val="28"/>
          <w:lang w:val="en-US" w:eastAsia="zh-CN"/>
        </w:rPr>
        <w:t>部</w:t>
      </w:r>
      <w:r>
        <w:rPr>
          <w:rFonts w:hint="eastAsia" w:ascii="宋体" w:hAnsi="宋体" w:eastAsia="宋体" w:cs="宋体"/>
          <w:sz w:val="28"/>
          <w:szCs w:val="28"/>
        </w:rPr>
        <w:t>负责组织校内外同行专家与行业专家，开展培养方案答辩评审会，进一步提升培养方案的科学性与可行性。各</w:t>
      </w:r>
      <w:r>
        <w:rPr>
          <w:rFonts w:hint="eastAsia" w:ascii="宋体" w:hAnsi="宋体" w:cs="宋体"/>
          <w:sz w:val="28"/>
          <w:szCs w:val="28"/>
          <w:lang w:eastAsia="zh-CN"/>
        </w:rPr>
        <w:t>二级学院</w:t>
      </w:r>
      <w:r>
        <w:rPr>
          <w:rFonts w:hint="eastAsia" w:ascii="宋体" w:hAnsi="宋体" w:eastAsia="宋体" w:cs="宋体"/>
          <w:sz w:val="28"/>
          <w:szCs w:val="28"/>
        </w:rPr>
        <w:t>应当围绕培养方案制定情况进行现场汇报答辩，详细阐述方案制定的依据、目标、主要内容以及特色创新点等，接受专家的提问与评审。</w:t>
      </w:r>
    </w:p>
    <w:p w14:paraId="27CDFC9C">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（五）形成方案定稿</w:t>
      </w:r>
    </w:p>
    <w:p w14:paraId="1BCF6A98">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根据答辩评审专家提出的意见，对培养方案进行进一步优化完善，形成培养方案定稿。定稿完成后，报</w:t>
      </w:r>
      <w:r>
        <w:rPr>
          <w:rFonts w:hint="eastAsia" w:ascii="宋体" w:hAnsi="宋体" w:cs="宋体"/>
          <w:sz w:val="28"/>
          <w:szCs w:val="28"/>
          <w:lang w:eastAsia="zh-CN"/>
        </w:rPr>
        <w:t>二级学院</w:t>
      </w:r>
      <w:r>
        <w:rPr>
          <w:rFonts w:hint="eastAsia" w:ascii="宋体" w:hAnsi="宋体" w:eastAsia="宋体" w:cs="宋体"/>
          <w:sz w:val="28"/>
          <w:szCs w:val="28"/>
        </w:rPr>
        <w:t>学位评定分委员会审定。审定通过后，完成培养方案的网上录入工作。同时，应当将培养方案、课程教学大纲、制定说明、校外专家论证意见、典型做法和案例等相关材料，一并报送至学校研究生</w:t>
      </w:r>
      <w:r>
        <w:rPr>
          <w:rFonts w:hint="eastAsia" w:ascii="宋体" w:hAnsi="宋体" w:cs="宋体"/>
          <w:sz w:val="28"/>
          <w:szCs w:val="28"/>
          <w:lang w:val="en-US" w:eastAsia="zh-CN"/>
        </w:rPr>
        <w:t>部</w:t>
      </w:r>
      <w:r>
        <w:rPr>
          <w:rFonts w:hint="eastAsia" w:ascii="宋体" w:hAnsi="宋体" w:eastAsia="宋体" w:cs="宋体"/>
          <w:sz w:val="28"/>
          <w:szCs w:val="28"/>
        </w:rPr>
        <w:t>备案存档。</w:t>
      </w:r>
    </w:p>
    <w:p w14:paraId="0226A5C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（六）提交研究生</w:t>
      </w:r>
      <w:r>
        <w:rPr>
          <w:rFonts w:hint="eastAsia" w:ascii="宋体" w:hAnsi="宋体" w:cs="宋体"/>
          <w:sz w:val="28"/>
          <w:szCs w:val="28"/>
          <w:lang w:val="en-US" w:eastAsia="zh-CN"/>
        </w:rPr>
        <w:t>部</w:t>
      </w:r>
      <w:r>
        <w:rPr>
          <w:rFonts w:hint="eastAsia" w:ascii="宋体" w:hAnsi="宋体" w:eastAsia="宋体" w:cs="宋体"/>
          <w:sz w:val="28"/>
          <w:szCs w:val="28"/>
        </w:rPr>
        <w:t>审核</w:t>
      </w:r>
    </w:p>
    <w:p w14:paraId="6924E61C">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学校研究生</w:t>
      </w:r>
      <w:r>
        <w:rPr>
          <w:rFonts w:hint="eastAsia" w:ascii="宋体" w:hAnsi="宋体" w:cs="宋体"/>
          <w:sz w:val="28"/>
          <w:szCs w:val="28"/>
          <w:lang w:val="en-US" w:eastAsia="zh-CN"/>
        </w:rPr>
        <w:t>部</w:t>
      </w:r>
      <w:r>
        <w:rPr>
          <w:rFonts w:hint="eastAsia" w:ascii="宋体" w:hAnsi="宋体" w:eastAsia="宋体" w:cs="宋体"/>
          <w:sz w:val="28"/>
          <w:szCs w:val="28"/>
        </w:rPr>
        <w:t>承担对</w:t>
      </w:r>
      <w:r>
        <w:rPr>
          <w:rFonts w:hint="eastAsia" w:ascii="宋体" w:hAnsi="宋体" w:cs="宋体"/>
          <w:sz w:val="28"/>
          <w:szCs w:val="28"/>
          <w:lang w:eastAsia="zh-CN"/>
        </w:rPr>
        <w:t>二级学院</w:t>
      </w:r>
      <w:r>
        <w:rPr>
          <w:rFonts w:hint="eastAsia" w:ascii="宋体" w:hAnsi="宋体" w:eastAsia="宋体" w:cs="宋体"/>
          <w:sz w:val="28"/>
          <w:szCs w:val="28"/>
        </w:rPr>
        <w:t>提交的培养方案进行形式审查和合规性审查的职责。在审查过程中，若发现培养方案存在格式不规范、内容不符合相关政策要求等问题，必要时将退回相关培养单位进行修改。经审查通过的培养方案，正式生效实施。</w:t>
      </w:r>
    </w:p>
    <w:p w14:paraId="4E4A6E5B">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培养方案一经制定，实施周期设定为三年。每满三年，应当对培养方案进行一次全面修订，以适应专业发展、教育政策调整以及社会需求变化。在培养方案实施过程中，若因特殊情况确有必要进行微调，各</w:t>
      </w:r>
      <w:r>
        <w:rPr>
          <w:rFonts w:hint="eastAsia" w:ascii="宋体" w:hAnsi="宋体" w:cs="宋体"/>
          <w:sz w:val="28"/>
          <w:szCs w:val="28"/>
          <w:lang w:eastAsia="zh-CN"/>
        </w:rPr>
        <w:t>二级学院</w:t>
      </w:r>
      <w:r>
        <w:rPr>
          <w:rFonts w:hint="eastAsia" w:ascii="宋体" w:hAnsi="宋体" w:eastAsia="宋体" w:cs="宋体"/>
          <w:sz w:val="28"/>
          <w:szCs w:val="28"/>
        </w:rPr>
        <w:t>应将微调后的培养方案以及调整情况说明提交至学校研究生院进行形式审查与合规性审查。审查通过后，报</w:t>
      </w:r>
      <w:r>
        <w:rPr>
          <w:rFonts w:hint="eastAsia" w:ascii="宋体" w:hAnsi="宋体" w:cs="宋体"/>
          <w:sz w:val="28"/>
          <w:szCs w:val="28"/>
          <w:lang w:eastAsia="zh-CN"/>
        </w:rPr>
        <w:t>二级学院</w:t>
      </w:r>
      <w:r>
        <w:rPr>
          <w:rFonts w:hint="eastAsia" w:ascii="宋体" w:hAnsi="宋体" w:eastAsia="宋体" w:cs="宋体"/>
          <w:sz w:val="28"/>
          <w:szCs w:val="28"/>
        </w:rPr>
        <w:t>学位评定分委员会审议。审议通过后，在当年研究生新生入学前报学校研究生院备案后，方可实施微调后的培养方案。</w:t>
      </w:r>
    </w:p>
    <w:p w14:paraId="113A7859">
      <w:pPr>
        <w:pStyle w:val="2"/>
        <w:jc w:val="center"/>
        <w:rPr>
          <w:i w:val="0"/>
          <w:iCs w:val="0"/>
          <w:kern w:val="0"/>
          <w:sz w:val="30"/>
          <w:szCs w:val="30"/>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14:paraId="63C1EA3F">
      <w:pPr>
        <w:pStyle w:val="2"/>
        <w:jc w:val="center"/>
        <w:rPr>
          <w:rFonts w:hint="eastAsia"/>
          <w:i w:val="0"/>
          <w:iCs w:val="0"/>
          <w:kern w:val="0"/>
          <w:sz w:val="30"/>
          <w:szCs w:val="30"/>
        </w:rPr>
      </w:pPr>
      <w:r>
        <w:rPr>
          <w:i w:val="0"/>
          <w:iCs w:val="0"/>
          <w:kern w:val="0"/>
          <w:sz w:val="30"/>
          <w:szCs w:val="30"/>
        </w:rPr>
        <w:t>XXXX</w:t>
      </w:r>
      <w:bookmarkEnd w:id="0"/>
      <w:r>
        <w:rPr>
          <w:rFonts w:hint="eastAsia"/>
          <w:i w:val="0"/>
          <w:iCs w:val="0"/>
          <w:kern w:val="0"/>
          <w:sz w:val="30"/>
          <w:szCs w:val="30"/>
        </w:rPr>
        <w:t>领域（代码：XXXX）</w:t>
      </w:r>
    </w:p>
    <w:p w14:paraId="23483956">
      <w:pPr>
        <w:rPr>
          <w:rFonts w:hint="eastAsia"/>
          <w:i w:val="0"/>
          <w:iCs w:val="0"/>
        </w:rPr>
      </w:pPr>
      <w:r>
        <w:rPr>
          <w:rFonts w:hint="eastAsia"/>
          <w:i w:val="0"/>
          <w:iCs w:val="0"/>
          <w:kern w:val="0"/>
          <w:sz w:val="30"/>
          <w:szCs w:val="30"/>
        </w:rPr>
        <w:t xml:space="preserve">              </w:t>
      </w:r>
      <w:r>
        <w:rPr>
          <w:rFonts w:hint="eastAsia" w:ascii="宋体" w:hAnsi="宋体"/>
          <w:i w:val="0"/>
          <w:iCs w:val="0"/>
          <w:color w:val="000000"/>
          <w:szCs w:val="21"/>
        </w:rPr>
        <w:t xml:space="preserve">       (适用于全日制/非全日制)</w:t>
      </w:r>
    </w:p>
    <w:p w14:paraId="2B5D3DAB">
      <w:pPr>
        <w:rPr>
          <w:rFonts w:hint="eastAsia"/>
          <w:i w:val="0"/>
          <w:iCs w:val="0"/>
        </w:rPr>
      </w:pPr>
      <w:r>
        <w:rPr>
          <w:rFonts w:hint="eastAsia"/>
          <w:i w:val="0"/>
          <w:iCs w:val="0"/>
          <w:kern w:val="0"/>
          <w:sz w:val="30"/>
          <w:szCs w:val="30"/>
        </w:rPr>
        <w:t xml:space="preserve">                       </w:t>
      </w:r>
    </w:p>
    <w:p w14:paraId="63753864">
      <w:pPr>
        <w:spacing w:before="156" w:beforeLines="50" w:after="156" w:afterLines="50"/>
        <w:ind w:firstLine="422" w:firstLineChars="200"/>
        <w:rPr>
          <w:rFonts w:hint="eastAsia" w:ascii="宋体" w:cs="宋体"/>
          <w:i w:val="0"/>
          <w:iCs w:val="0"/>
          <w:kern w:val="0"/>
          <w:szCs w:val="21"/>
        </w:rPr>
      </w:pPr>
      <w:r>
        <w:rPr>
          <w:rFonts w:hint="eastAsia" w:ascii="宋体" w:hAnsi="宋体" w:cs="宋体"/>
          <w:b/>
          <w:bCs/>
          <w:i w:val="0"/>
          <w:iCs w:val="0"/>
          <w:kern w:val="0"/>
          <w:szCs w:val="21"/>
        </w:rPr>
        <w:t>一、专业学位类别/领域简介</w:t>
      </w:r>
      <w:r>
        <w:rPr>
          <w:rFonts w:hint="eastAsia" w:ascii="宋体" w:hAnsi="宋体" w:cs="宋体"/>
          <w:i w:val="0"/>
          <w:iCs w:val="0"/>
          <w:kern w:val="0"/>
          <w:szCs w:val="21"/>
        </w:rPr>
        <w:t>：约</w:t>
      </w:r>
      <w:r>
        <w:rPr>
          <w:rFonts w:ascii="宋体" w:hAnsi="宋体" w:cs="宋体"/>
          <w:i w:val="0"/>
          <w:iCs w:val="0"/>
          <w:kern w:val="0"/>
          <w:szCs w:val="21"/>
        </w:rPr>
        <w:t>800</w:t>
      </w:r>
      <w:r>
        <w:rPr>
          <w:rFonts w:hint="eastAsia" w:ascii="宋体" w:hAnsi="宋体" w:cs="宋体"/>
          <w:i w:val="0"/>
          <w:iCs w:val="0"/>
          <w:kern w:val="0"/>
          <w:szCs w:val="21"/>
        </w:rPr>
        <w:t>字</w:t>
      </w:r>
    </w:p>
    <w:p w14:paraId="3B8F0935">
      <w:pPr>
        <w:spacing w:before="156" w:beforeLines="50" w:after="156" w:afterLines="50"/>
        <w:ind w:firstLine="422" w:firstLineChars="200"/>
        <w:rPr>
          <w:rFonts w:hint="eastAsia" w:ascii="宋体" w:cs="宋体"/>
          <w:b/>
          <w:bCs/>
          <w:i w:val="0"/>
          <w:iCs w:val="0"/>
          <w:szCs w:val="21"/>
        </w:rPr>
      </w:pPr>
      <w:r>
        <w:rPr>
          <w:rFonts w:hint="eastAsia" w:ascii="宋体" w:hAnsi="宋体" w:cs="宋体"/>
          <w:b/>
          <w:bCs/>
          <w:i w:val="0"/>
          <w:iCs w:val="0"/>
          <w:kern w:val="0"/>
          <w:szCs w:val="21"/>
        </w:rPr>
        <w:t>二、</w:t>
      </w:r>
      <w:r>
        <w:rPr>
          <w:rFonts w:hint="eastAsia" w:ascii="宋体" w:hAnsi="宋体" w:cs="宋体"/>
          <w:b/>
          <w:bCs/>
          <w:i w:val="0"/>
          <w:iCs w:val="0"/>
          <w:szCs w:val="21"/>
        </w:rPr>
        <w:t>主要研究方向</w:t>
      </w:r>
    </w:p>
    <w:p w14:paraId="351689CB">
      <w:pPr>
        <w:rPr>
          <w:rFonts w:hint="eastAsia" w:ascii="宋体" w:cs="宋体"/>
          <w:b/>
          <w:bCs/>
          <w:i w:val="0"/>
          <w:iCs w:val="0"/>
          <w:kern w:val="0"/>
          <w:szCs w:val="21"/>
        </w:rPr>
      </w:pPr>
      <w:r>
        <w:rPr>
          <w:rFonts w:ascii="宋体" w:hAnsi="宋体" w:cs="宋体"/>
          <w:b/>
          <w:bCs/>
          <w:i w:val="0"/>
          <w:iCs w:val="0"/>
          <w:kern w:val="0"/>
          <w:szCs w:val="21"/>
        </w:rPr>
        <w:t xml:space="preserve">    </w:t>
      </w:r>
      <w:r>
        <w:rPr>
          <w:rFonts w:hint="eastAsia" w:ascii="宋体" w:hAnsi="宋体" w:cs="宋体"/>
          <w:b/>
          <w:bCs/>
          <w:i w:val="0"/>
          <w:iCs w:val="0"/>
          <w:kern w:val="0"/>
          <w:szCs w:val="21"/>
        </w:rPr>
        <w:t>三、培养目标</w:t>
      </w:r>
    </w:p>
    <w:p w14:paraId="3F63993A">
      <w:pPr>
        <w:spacing w:before="156" w:beforeLines="50" w:line="360" w:lineRule="auto"/>
        <w:ind w:firstLine="420" w:firstLineChars="200"/>
        <w:rPr>
          <w:rFonts w:hint="eastAsia" w:ascii="宋体" w:cs="宋体"/>
          <w:i w:val="0"/>
          <w:iCs w:val="0"/>
          <w:szCs w:val="21"/>
        </w:rPr>
      </w:pPr>
      <w:r>
        <w:rPr>
          <w:rFonts w:hint="eastAsia" w:ascii="宋体" w:hAnsi="宋体"/>
          <w:i w:val="0"/>
          <w:iCs w:val="0"/>
          <w:color w:val="000000"/>
          <w:szCs w:val="21"/>
        </w:rPr>
        <w:t>各专业领域根据教指委要求，结合自身特点，提出具体的目标要求。</w:t>
      </w:r>
    </w:p>
    <w:p w14:paraId="161B5D92">
      <w:pPr>
        <w:ind w:firstLine="422" w:firstLineChars="200"/>
        <w:rPr>
          <w:rFonts w:hint="eastAsia" w:ascii="宋体" w:cs="宋体"/>
          <w:b/>
          <w:bCs/>
          <w:i w:val="0"/>
          <w:iCs w:val="0"/>
          <w:szCs w:val="21"/>
        </w:rPr>
      </w:pPr>
      <w:r>
        <w:rPr>
          <w:rFonts w:hint="eastAsia" w:ascii="宋体" w:hAnsi="宋体" w:cs="宋体"/>
          <w:b/>
          <w:bCs/>
          <w:i w:val="0"/>
          <w:iCs w:val="0"/>
          <w:szCs w:val="21"/>
        </w:rPr>
        <w:t>四、培养方式</w:t>
      </w:r>
    </w:p>
    <w:p w14:paraId="28207807">
      <w:pPr>
        <w:spacing w:before="156" w:beforeLines="50"/>
        <w:ind w:firstLine="422" w:firstLineChars="200"/>
        <w:rPr>
          <w:rFonts w:ascii="宋体" w:hAnsi="宋体" w:cs="宋体"/>
          <w:b/>
          <w:bCs/>
          <w:i w:val="0"/>
          <w:iCs w:val="0"/>
          <w:szCs w:val="21"/>
        </w:rPr>
      </w:pPr>
      <w:r>
        <w:rPr>
          <w:rFonts w:hint="eastAsia" w:ascii="宋体" w:hAnsi="宋体" w:cs="宋体"/>
          <w:b/>
          <w:bCs/>
          <w:i w:val="0"/>
          <w:iCs w:val="0"/>
          <w:szCs w:val="21"/>
        </w:rPr>
        <w:t>五、基本学制及学习年限</w:t>
      </w:r>
    </w:p>
    <w:p w14:paraId="210C191D">
      <w:pPr>
        <w:spacing w:line="360" w:lineRule="auto"/>
        <w:ind w:firstLine="420" w:firstLineChars="200"/>
        <w:rPr>
          <w:rFonts w:hint="eastAsia" w:ascii="宋体" w:cs="宋体"/>
          <w:i w:val="0"/>
          <w:iCs w:val="0"/>
          <w:kern w:val="0"/>
          <w:szCs w:val="21"/>
        </w:rPr>
      </w:pPr>
      <w:r>
        <w:rPr>
          <w:rFonts w:hint="eastAsia" w:ascii="宋体" w:hAnsi="宋体" w:cs="宋体"/>
          <w:i w:val="0"/>
          <w:iCs w:val="0"/>
          <w:kern w:val="0"/>
          <w:szCs w:val="21"/>
        </w:rPr>
        <w:t>学制</w:t>
      </w:r>
      <w:r>
        <w:rPr>
          <w:rFonts w:ascii="宋体" w:hAnsi="宋体" w:cs="宋体"/>
          <w:i w:val="0"/>
          <w:iCs w:val="0"/>
          <w:kern w:val="0"/>
          <w:szCs w:val="21"/>
        </w:rPr>
        <w:t>3</w:t>
      </w:r>
      <w:r>
        <w:rPr>
          <w:rFonts w:hint="eastAsia" w:ascii="宋体" w:hAnsi="宋体" w:cs="宋体"/>
          <w:i w:val="0"/>
          <w:iCs w:val="0"/>
          <w:kern w:val="0"/>
          <w:szCs w:val="21"/>
        </w:rPr>
        <w:t>年，最长学习年限</w:t>
      </w:r>
      <w:r>
        <w:rPr>
          <w:rFonts w:ascii="宋体" w:hAnsi="宋体" w:cs="宋体"/>
          <w:i w:val="0"/>
          <w:iCs w:val="0"/>
          <w:kern w:val="0"/>
          <w:szCs w:val="21"/>
        </w:rPr>
        <w:t>5</w:t>
      </w:r>
      <w:r>
        <w:rPr>
          <w:rFonts w:hint="eastAsia" w:ascii="宋体" w:hAnsi="宋体" w:cs="宋体"/>
          <w:i w:val="0"/>
          <w:iCs w:val="0"/>
          <w:kern w:val="0"/>
          <w:szCs w:val="21"/>
        </w:rPr>
        <w:t>年（含休学）。全日制研究生采取全脱产在校学习方式，非全日制采取非脱产学习方式。</w:t>
      </w:r>
    </w:p>
    <w:p w14:paraId="2199C327">
      <w:pPr>
        <w:spacing w:before="156" w:beforeLines="50" w:after="156" w:afterLines="50"/>
        <w:ind w:firstLine="422" w:firstLineChars="200"/>
        <w:rPr>
          <w:rFonts w:hint="eastAsia" w:ascii="宋体" w:cs="宋体"/>
          <w:b/>
          <w:bCs/>
          <w:i w:val="0"/>
          <w:iCs w:val="0"/>
          <w:szCs w:val="21"/>
        </w:rPr>
      </w:pPr>
      <w:r>
        <w:rPr>
          <w:rFonts w:hint="eastAsia" w:ascii="宋体" w:hAnsi="宋体" w:cs="宋体"/>
          <w:b/>
          <w:bCs/>
          <w:i w:val="0"/>
          <w:iCs w:val="0"/>
          <w:szCs w:val="21"/>
        </w:rPr>
        <w:t>六、学分要求及</w:t>
      </w:r>
      <w:r>
        <w:rPr>
          <w:rFonts w:hint="eastAsia" w:ascii="宋体" w:hAnsi="宋体" w:cs="宋体"/>
          <w:b/>
          <w:i w:val="0"/>
          <w:iCs w:val="0"/>
          <w:szCs w:val="21"/>
        </w:rPr>
        <w:t>课程设置</w:t>
      </w:r>
    </w:p>
    <w:p w14:paraId="3A0EFEC6">
      <w:pPr>
        <w:spacing w:before="156" w:beforeLines="50"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 xml:space="preserve">应修学分不低于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学分，其中，公共学位课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学分，专业学位课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学分，选修课 </w:t>
      </w:r>
      <w:r>
        <w:rPr>
          <w:rFonts w:hint="eastAsia" w:ascii="宋体" w:hAnsi="宋体" w:cs="宋体"/>
          <w:i w:val="0"/>
          <w:iCs w:val="0"/>
          <w:color w:val="FF0000"/>
          <w:kern w:val="0"/>
          <w:szCs w:val="21"/>
        </w:rPr>
        <w:t>？</w:t>
      </w:r>
      <w:r>
        <w:rPr>
          <w:rFonts w:hint="eastAsia" w:ascii="宋体" w:hAnsi="宋体" w:cs="宋体"/>
          <w:i w:val="0"/>
          <w:iCs w:val="0"/>
          <w:kern w:val="0"/>
          <w:szCs w:val="21"/>
        </w:rPr>
        <w:t>学分，实践环节6学分。全日制研究生课程学习应在第1-2学期内完成，非全日制研究生的课程学习时间可适当延长。课程成绩60分以上（含）为及格，成绩及格取得相应学分。跨学科或同等学力的研究生补修两门本科主干课，补修课只记成绩不计学分。课程设置见附表。</w:t>
      </w:r>
    </w:p>
    <w:p w14:paraId="19F71388">
      <w:pPr>
        <w:spacing w:before="156" w:beforeLines="50" w:line="360" w:lineRule="auto"/>
        <w:ind w:firstLine="422" w:firstLineChars="200"/>
        <w:rPr>
          <w:rFonts w:ascii="宋体" w:hAnsi="宋体" w:cs="宋体"/>
          <w:b/>
          <w:bCs/>
          <w:i w:val="0"/>
          <w:iCs w:val="0"/>
          <w:kern w:val="0"/>
          <w:szCs w:val="21"/>
        </w:rPr>
      </w:pPr>
      <w:r>
        <w:rPr>
          <w:rFonts w:hint="eastAsia" w:ascii="宋体" w:hAnsi="宋体" w:cs="宋体"/>
          <w:b/>
          <w:bCs/>
          <w:i w:val="0"/>
          <w:iCs w:val="0"/>
          <w:kern w:val="0"/>
          <w:szCs w:val="21"/>
        </w:rPr>
        <w:t>（各单位根据教指委指导性培养方案，结合我校研究生培养实际，合理设置课程，课程总学分和学位课学分应不低于教指委要求）</w:t>
      </w:r>
    </w:p>
    <w:p w14:paraId="23A3C513">
      <w:pPr>
        <w:numPr>
          <w:ilvl w:val="0"/>
          <w:numId w:val="1"/>
        </w:numPr>
        <w:spacing w:before="156" w:beforeLines="50" w:after="156" w:afterLines="50"/>
        <w:ind w:firstLine="422" w:firstLineChars="200"/>
        <w:rPr>
          <w:rFonts w:ascii="宋体" w:hAnsi="宋体" w:cs="宋体"/>
          <w:b/>
          <w:bCs/>
          <w:i w:val="0"/>
          <w:iCs w:val="0"/>
          <w:szCs w:val="21"/>
        </w:rPr>
      </w:pPr>
      <w:r>
        <w:rPr>
          <w:rFonts w:hint="eastAsia" w:ascii="宋体" w:hAnsi="宋体" w:cs="宋体"/>
          <w:b/>
          <w:bCs/>
          <w:i w:val="0"/>
          <w:iCs w:val="0"/>
          <w:szCs w:val="21"/>
        </w:rPr>
        <w:t>培养环节</w:t>
      </w:r>
    </w:p>
    <w:p w14:paraId="0ACEF40B">
      <w:pPr>
        <w:pStyle w:val="14"/>
        <w:ind w:firstLine="420"/>
        <w:rPr>
          <w:rFonts w:ascii="宋体" w:hAnsi="宋体" w:cs="宋体"/>
          <w:i w:val="0"/>
          <w:iCs w:val="0"/>
          <w:szCs w:val="21"/>
        </w:rPr>
      </w:pPr>
      <w:r>
        <w:rPr>
          <w:rFonts w:hint="eastAsia" w:ascii="宋体" w:hAnsi="宋体" w:cs="宋体"/>
          <w:i w:val="0"/>
          <w:iCs w:val="0"/>
          <w:szCs w:val="21"/>
        </w:rPr>
        <w:t>研究生在学期间应完成课程学习及以下培养环节。</w:t>
      </w:r>
    </w:p>
    <w:p w14:paraId="654625A3">
      <w:pPr>
        <w:spacing w:line="360" w:lineRule="auto"/>
        <w:ind w:firstLine="420" w:firstLineChars="200"/>
        <w:rPr>
          <w:rFonts w:ascii="宋体" w:hAnsi="宋体" w:cs="宋体"/>
          <w:i w:val="0"/>
          <w:iCs w:val="0"/>
          <w:kern w:val="0"/>
          <w:szCs w:val="21"/>
        </w:rPr>
      </w:pPr>
      <w:r>
        <w:rPr>
          <w:rFonts w:ascii="宋体" w:hAnsi="宋体" w:cs="宋体"/>
          <w:i w:val="0"/>
          <w:iCs w:val="0"/>
          <w:kern w:val="0"/>
          <w:szCs w:val="21"/>
        </w:rPr>
        <w:t>1</w:t>
      </w:r>
      <w:r>
        <w:rPr>
          <w:rFonts w:hint="eastAsia" w:ascii="宋体" w:hAnsi="宋体" w:cs="宋体"/>
          <w:i w:val="0"/>
          <w:iCs w:val="0"/>
          <w:kern w:val="0"/>
          <w:szCs w:val="21"/>
        </w:rPr>
        <w:t xml:space="preserve">.制定个人培养计划 </w:t>
      </w:r>
    </w:p>
    <w:p w14:paraId="4BF4C06F">
      <w:pPr>
        <w:spacing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新生应在入学后3周内在导师指导下初步制定个人培养计划（主要是课程学习和实践计划），并在随后三个月内逐步完善，确定后的培养计划经导师签字确认后报学院备案。</w:t>
      </w:r>
    </w:p>
    <w:p w14:paraId="3993C78C">
      <w:pPr>
        <w:spacing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2.科学道德和学术规范教育</w:t>
      </w:r>
    </w:p>
    <w:p w14:paraId="2665E699">
      <w:pPr>
        <w:spacing w:line="360" w:lineRule="auto"/>
        <w:ind w:firstLine="420" w:firstLineChars="200"/>
        <w:rPr>
          <w:rFonts w:hint="eastAsia" w:ascii="宋体" w:cs="宋体"/>
          <w:i w:val="0"/>
          <w:iCs w:val="0"/>
          <w:kern w:val="0"/>
          <w:szCs w:val="21"/>
        </w:rPr>
      </w:pPr>
      <w:r>
        <w:rPr>
          <w:rFonts w:hint="eastAsia" w:ascii="宋体" w:hAnsi="宋体" w:cs="宋体"/>
          <w:i w:val="0"/>
          <w:iCs w:val="0"/>
          <w:kern w:val="0"/>
          <w:szCs w:val="21"/>
        </w:rPr>
        <w:t>新生入学后应接受学术规范、学术道德和学术诚信教育，</w:t>
      </w:r>
      <w:r>
        <w:rPr>
          <w:rFonts w:hint="eastAsia" w:ascii="宋体" w:hAnsi="宋体" w:cs="宋体"/>
          <w:i w:val="0"/>
          <w:iCs w:val="0"/>
          <w:szCs w:val="21"/>
        </w:rPr>
        <w:t>必须参加学校组织的……</w:t>
      </w:r>
      <w:r>
        <w:rPr>
          <w:rFonts w:hint="eastAsia" w:ascii="宋体" w:hAnsi="宋体" w:cs="宋体"/>
          <w:i w:val="0"/>
          <w:iCs w:val="0"/>
          <w:kern w:val="0"/>
          <w:szCs w:val="21"/>
        </w:rPr>
        <w:t>学习《高等学校科学技术学术规范指南》（理工医科）和《高校人文社会科学学术规范指南》（人文社科）。</w:t>
      </w:r>
    </w:p>
    <w:p w14:paraId="1DCECACA">
      <w:pPr>
        <w:spacing w:line="360" w:lineRule="auto"/>
        <w:ind w:firstLine="420" w:firstLineChars="200"/>
        <w:rPr>
          <w:rFonts w:hint="eastAsia" w:ascii="宋体" w:cs="宋体"/>
          <w:i w:val="0"/>
          <w:iCs w:val="0"/>
          <w:kern w:val="0"/>
          <w:szCs w:val="21"/>
        </w:rPr>
      </w:pPr>
      <w:r>
        <w:rPr>
          <w:rFonts w:ascii="宋体" w:hAnsi="宋体" w:cs="宋体"/>
          <w:i w:val="0"/>
          <w:iCs w:val="0"/>
          <w:kern w:val="0"/>
          <w:szCs w:val="21"/>
        </w:rPr>
        <w:t>3</w:t>
      </w:r>
      <w:r>
        <w:rPr>
          <w:rFonts w:hint="eastAsia" w:ascii="宋体" w:hAnsi="宋体" w:cs="宋体"/>
          <w:i w:val="0"/>
          <w:iCs w:val="0"/>
          <w:kern w:val="0"/>
          <w:szCs w:val="21"/>
        </w:rPr>
        <w:t>.开题报告</w:t>
      </w:r>
    </w:p>
    <w:p w14:paraId="6308FEC3">
      <w:pPr>
        <w:pStyle w:val="14"/>
        <w:ind w:firstLine="420"/>
        <w:rPr>
          <w:rFonts w:hint="eastAsia" w:ascii="宋体" w:cs="宋体"/>
          <w:i w:val="0"/>
          <w:iCs w:val="0"/>
          <w:strike/>
          <w:dstrike w:val="0"/>
          <w:szCs w:val="21"/>
        </w:rPr>
      </w:pPr>
      <w:r>
        <w:rPr>
          <w:rFonts w:hint="eastAsia" w:ascii="宋体" w:hAnsi="宋体" w:cs="宋体"/>
          <w:i w:val="0"/>
          <w:iCs w:val="0"/>
          <w:szCs w:val="21"/>
        </w:rPr>
        <w:t>研究生须完成培养计划规定的课程学习并经考核合格后方可进行学位论文开题。专业学位硕士研究生</w:t>
      </w:r>
      <w:r>
        <w:rPr>
          <w:rFonts w:hint="eastAsia" w:ascii="宋体" w:hAnsi="宋体"/>
          <w:i w:val="0"/>
          <w:iCs w:val="0"/>
          <w:szCs w:val="21"/>
        </w:rPr>
        <w:t>学位论文选题应来源于应用课题或现实问题，必须要有明确的职业背景和应用价值。研究生</w:t>
      </w:r>
      <w:r>
        <w:rPr>
          <w:rFonts w:hint="eastAsia" w:ascii="宋体" w:hAnsi="宋体" w:cs="宋体"/>
          <w:i w:val="0"/>
          <w:iCs w:val="0"/>
          <w:szCs w:val="21"/>
        </w:rPr>
        <w:t>在导师的指导下确定研究方向，通过查阅文献、收集资料和调查研究确定研究课题，进入论文工作前进行开题和方案论证，在学院内公开报告，要求第</w:t>
      </w:r>
      <w:r>
        <w:rPr>
          <w:rFonts w:ascii="宋体" w:hAnsi="宋体" w:cs="宋体"/>
          <w:i w:val="0"/>
          <w:iCs w:val="0"/>
          <w:szCs w:val="21"/>
        </w:rPr>
        <w:t>3</w:t>
      </w:r>
      <w:r>
        <w:rPr>
          <w:rFonts w:hint="eastAsia" w:ascii="宋体" w:hAnsi="宋体" w:cs="宋体"/>
          <w:i w:val="0"/>
          <w:iCs w:val="0"/>
          <w:szCs w:val="21"/>
        </w:rPr>
        <w:t>学期完成。</w:t>
      </w:r>
    </w:p>
    <w:p w14:paraId="523B1A84">
      <w:pPr>
        <w:pStyle w:val="14"/>
        <w:ind w:left="420" w:leftChars="200" w:firstLine="0" w:firstLineChars="0"/>
        <w:rPr>
          <w:rFonts w:ascii="宋体" w:hAnsi="宋体" w:cs="宋体"/>
          <w:i w:val="0"/>
          <w:iCs w:val="0"/>
          <w:szCs w:val="21"/>
        </w:rPr>
      </w:pPr>
      <w:r>
        <w:rPr>
          <w:rFonts w:hint="eastAsia" w:ascii="宋体" w:hAnsi="宋体" w:cs="宋体"/>
          <w:i w:val="0"/>
          <w:iCs w:val="0"/>
          <w:szCs w:val="21"/>
        </w:rPr>
        <w:t>4.中期考核</w:t>
      </w:r>
    </w:p>
    <w:p w14:paraId="32DBB02D">
      <w:pPr>
        <w:pStyle w:val="14"/>
        <w:ind w:firstLine="420"/>
        <w:rPr>
          <w:rFonts w:hint="eastAsia" w:ascii="宋体" w:cs="宋体"/>
          <w:i w:val="0"/>
          <w:iCs w:val="0"/>
          <w:szCs w:val="21"/>
        </w:rPr>
      </w:pPr>
      <w:r>
        <w:rPr>
          <w:rFonts w:hint="eastAsia" w:ascii="宋体" w:hAnsi="宋体" w:cs="宋体"/>
          <w:i w:val="0"/>
          <w:iCs w:val="0"/>
          <w:szCs w:val="21"/>
        </w:rPr>
        <w:t>第</w:t>
      </w:r>
      <w:r>
        <w:rPr>
          <w:rFonts w:ascii="宋体" w:hAnsi="宋体" w:cs="宋体"/>
          <w:i w:val="0"/>
          <w:iCs w:val="0"/>
          <w:szCs w:val="21"/>
        </w:rPr>
        <w:t>4</w:t>
      </w:r>
      <w:r>
        <w:rPr>
          <w:rFonts w:hint="eastAsia" w:ascii="宋体" w:hAnsi="宋体" w:cs="宋体"/>
          <w:i w:val="0"/>
          <w:iCs w:val="0"/>
          <w:szCs w:val="21"/>
        </w:rPr>
        <w:t>学期初，开展研究生中期考核，主要是对政治思想、课程学习、科研能力等方面进行综合考查和评议，具体要求参照《惠州学院研究生中期考核办法（试行）》。</w:t>
      </w:r>
    </w:p>
    <w:p w14:paraId="6011F4AA">
      <w:pPr>
        <w:pStyle w:val="14"/>
        <w:ind w:firstLine="420"/>
        <w:rPr>
          <w:rFonts w:ascii="宋体" w:hAnsi="宋体"/>
          <w:i w:val="0"/>
          <w:iCs w:val="0"/>
          <w:kern w:val="2"/>
          <w:szCs w:val="21"/>
        </w:rPr>
      </w:pPr>
      <w:r>
        <w:rPr>
          <w:rFonts w:ascii="宋体" w:hAnsi="宋体"/>
          <w:i w:val="0"/>
          <w:iCs w:val="0"/>
          <w:kern w:val="2"/>
          <w:szCs w:val="21"/>
        </w:rPr>
        <w:t>5</w:t>
      </w:r>
      <w:r>
        <w:rPr>
          <w:rFonts w:hint="eastAsia" w:ascii="宋体" w:hAnsi="宋体"/>
          <w:i w:val="0"/>
          <w:iCs w:val="0"/>
          <w:kern w:val="2"/>
          <w:szCs w:val="21"/>
        </w:rPr>
        <w:t>.专业实践（必修6学分）</w:t>
      </w:r>
    </w:p>
    <w:p w14:paraId="64DC3454">
      <w:pPr>
        <w:pStyle w:val="14"/>
        <w:ind w:firstLine="359" w:firstLineChars="171"/>
        <w:rPr>
          <w:rFonts w:ascii="宋体" w:hAnsi="宋体"/>
          <w:i w:val="0"/>
          <w:iCs w:val="0"/>
          <w:kern w:val="2"/>
          <w:szCs w:val="21"/>
        </w:rPr>
      </w:pPr>
      <w:r>
        <w:rPr>
          <w:rFonts w:hint="eastAsia" w:ascii="宋体" w:hAnsi="宋体"/>
          <w:i w:val="0"/>
          <w:iCs w:val="0"/>
          <w:kern w:val="2"/>
          <w:szCs w:val="21"/>
        </w:rPr>
        <w:t>专业实践是专业学位硕士培养的重要环节，全日制专业学位硕士实践时长依据教指委指导性培养方案要求确定，一般不少于6个月，可采用集中实践与分段实践相结合的方式，实践形式可以是企业或行业实践、课题研究、创新创业等多种形式，非全日制硕士专业实践可结合岗位工作开展。实践结束经导师和学院考核，合格者取得6学分，要求第五学期结束前完成。</w:t>
      </w:r>
      <w:r>
        <w:rPr>
          <w:rFonts w:hint="eastAsia" w:ascii="宋体" w:hAnsi="宋体"/>
          <w:b/>
          <w:bCs/>
          <w:i w:val="0"/>
          <w:iCs w:val="0"/>
          <w:kern w:val="2"/>
          <w:szCs w:val="21"/>
        </w:rPr>
        <w:t>（专业实践活动的管理和考核方式由学院根据专业特点自定，在此撰写）</w:t>
      </w:r>
    </w:p>
    <w:p w14:paraId="03DD6933">
      <w:pPr>
        <w:pStyle w:val="14"/>
        <w:ind w:firstLine="359" w:firstLineChars="171"/>
        <w:rPr>
          <w:rFonts w:ascii="宋体" w:hAnsi="宋体"/>
          <w:i w:val="0"/>
          <w:iCs w:val="0"/>
          <w:kern w:val="2"/>
          <w:szCs w:val="21"/>
        </w:rPr>
      </w:pPr>
      <w:r>
        <w:rPr>
          <w:rFonts w:hint="eastAsia" w:ascii="宋体" w:hAnsi="宋体"/>
          <w:i w:val="0"/>
          <w:iCs w:val="0"/>
          <w:kern w:val="2"/>
          <w:szCs w:val="21"/>
        </w:rPr>
        <w:t>6</w:t>
      </w:r>
      <w:r>
        <w:rPr>
          <w:rFonts w:ascii="宋体" w:hAnsi="宋体"/>
          <w:i w:val="0"/>
          <w:iCs w:val="0"/>
          <w:kern w:val="2"/>
          <w:szCs w:val="21"/>
        </w:rPr>
        <w:t>.</w:t>
      </w:r>
      <w:r>
        <w:rPr>
          <w:rFonts w:hint="eastAsia" w:ascii="宋体" w:hAnsi="宋体"/>
          <w:i w:val="0"/>
          <w:iCs w:val="0"/>
          <w:kern w:val="2"/>
          <w:szCs w:val="21"/>
        </w:rPr>
        <w:t>学术活动</w:t>
      </w:r>
    </w:p>
    <w:p w14:paraId="44E9B4A4">
      <w:pPr>
        <w:pStyle w:val="14"/>
        <w:ind w:firstLine="359" w:firstLineChars="171"/>
        <w:rPr>
          <w:rFonts w:ascii="宋体" w:hAnsi="宋体"/>
          <w:i w:val="0"/>
          <w:iCs w:val="0"/>
          <w:kern w:val="2"/>
          <w:szCs w:val="21"/>
        </w:rPr>
      </w:pPr>
      <w:r>
        <w:rPr>
          <w:rFonts w:hint="eastAsia" w:ascii="宋体" w:hAnsi="宋体"/>
          <w:i w:val="0"/>
          <w:iCs w:val="0"/>
          <w:kern w:val="2"/>
          <w:szCs w:val="21"/>
        </w:rPr>
        <w:t>研究生在学期间应参加一定的学术活动，学术活动内容包括参加学术讲座、学术报告、学术研讨会等。</w:t>
      </w:r>
    </w:p>
    <w:p w14:paraId="5B21EF95">
      <w:pPr>
        <w:pStyle w:val="14"/>
        <w:ind w:firstLine="359" w:firstLineChars="171"/>
        <w:rPr>
          <w:rFonts w:ascii="宋体" w:hAnsi="宋体"/>
          <w:i w:val="0"/>
          <w:iCs w:val="0"/>
          <w:kern w:val="2"/>
          <w:szCs w:val="21"/>
        </w:rPr>
      </w:pPr>
      <w:r>
        <w:rPr>
          <w:rFonts w:hint="eastAsia" w:ascii="宋体" w:hAnsi="宋体"/>
          <w:i w:val="0"/>
          <w:iCs w:val="0"/>
          <w:kern w:val="2"/>
          <w:szCs w:val="21"/>
        </w:rPr>
        <w:t>7.学位（毕业）论文撰写与答辩</w:t>
      </w:r>
    </w:p>
    <w:p w14:paraId="3C8794E2">
      <w:pPr>
        <w:pStyle w:val="14"/>
        <w:ind w:firstLine="359" w:firstLineChars="171"/>
        <w:rPr>
          <w:rFonts w:ascii="宋体" w:hAnsi="宋体"/>
          <w:i w:val="0"/>
          <w:iCs w:val="0"/>
          <w:kern w:val="2"/>
          <w:szCs w:val="21"/>
        </w:rPr>
      </w:pPr>
      <w:r>
        <w:rPr>
          <w:rFonts w:hint="eastAsia" w:ascii="宋体" w:hAnsi="宋体"/>
          <w:i w:val="0"/>
          <w:iCs w:val="0"/>
          <w:kern w:val="2"/>
          <w:szCs w:val="21"/>
        </w:rPr>
        <w:t>学位（毕业）论文研究的实际工作时间一般不少于1</w:t>
      </w:r>
      <w:r>
        <w:rPr>
          <w:rFonts w:ascii="宋体" w:hAnsi="宋体"/>
          <w:i w:val="0"/>
          <w:iCs w:val="0"/>
          <w:kern w:val="2"/>
          <w:szCs w:val="21"/>
        </w:rPr>
        <w:t>.5</w:t>
      </w:r>
      <w:r>
        <w:rPr>
          <w:rFonts w:hint="eastAsia" w:ascii="宋体" w:hAnsi="宋体"/>
          <w:i w:val="0"/>
          <w:iCs w:val="0"/>
          <w:kern w:val="2"/>
          <w:szCs w:val="21"/>
        </w:rPr>
        <w:t>年。专业学位论文应反映研究生综合运用知识技能解决实际问题的能力和水平，可将研究报告、规划设计、产品开发、案例分析、管理方案、发明专利、文学艺术作品等作为主要内容，以论文形式表现。</w:t>
      </w:r>
    </w:p>
    <w:p w14:paraId="4931190E">
      <w:pPr>
        <w:pStyle w:val="14"/>
        <w:ind w:firstLine="359" w:firstLineChars="171"/>
        <w:rPr>
          <w:rFonts w:hint="eastAsia" w:ascii="宋体" w:hAnsi="宋体"/>
          <w:i w:val="0"/>
          <w:iCs w:val="0"/>
          <w:kern w:val="2"/>
          <w:szCs w:val="21"/>
        </w:rPr>
      </w:pPr>
      <w:r>
        <w:rPr>
          <w:rFonts w:hint="eastAsia" w:ascii="宋体" w:hAnsi="宋体"/>
          <w:i w:val="0"/>
          <w:iCs w:val="0"/>
          <w:kern w:val="2"/>
          <w:szCs w:val="21"/>
        </w:rPr>
        <w:t>论文撰写必须在导师指导下由研究生独立完成。论文应当结构完整，逻辑严密，条理清晰，语言规范，数据准确，亮点突出，引用得当，保证原创性。</w:t>
      </w:r>
    </w:p>
    <w:p w14:paraId="5DF9ADAF">
      <w:pPr>
        <w:pStyle w:val="14"/>
        <w:ind w:firstLine="359" w:firstLineChars="171"/>
        <w:rPr>
          <w:rFonts w:ascii="宋体" w:hAnsi="宋体"/>
          <w:i w:val="0"/>
          <w:iCs w:val="0"/>
          <w:kern w:val="2"/>
          <w:szCs w:val="21"/>
        </w:rPr>
      </w:pPr>
      <w:r>
        <w:rPr>
          <w:rFonts w:hint="eastAsia" w:ascii="宋体" w:hAnsi="宋体"/>
          <w:i w:val="0"/>
          <w:iCs w:val="0"/>
          <w:kern w:val="2"/>
          <w:szCs w:val="21"/>
        </w:rPr>
        <w:t>学位（毕业）论文实行原创性检测、专家评阅、公开答辩制度。论文评阅和答辩一般安排在第6学期。具体要求按《惠州学院硕士学位授予工作细则（试行）》相关规定执行。</w:t>
      </w:r>
    </w:p>
    <w:p w14:paraId="3A4EA211">
      <w:pPr>
        <w:spacing w:before="50" w:line="360" w:lineRule="auto"/>
        <w:ind w:firstLine="422" w:firstLineChars="200"/>
        <w:rPr>
          <w:rFonts w:hint="eastAsia" w:ascii="宋体" w:cs="宋体"/>
          <w:b/>
          <w:bCs/>
          <w:i w:val="0"/>
          <w:iCs w:val="0"/>
          <w:szCs w:val="21"/>
        </w:rPr>
      </w:pPr>
      <w:r>
        <w:rPr>
          <w:rFonts w:hint="eastAsia" w:ascii="宋体" w:hAnsi="宋体" w:cs="宋体"/>
          <w:b/>
          <w:bCs/>
          <w:i w:val="0"/>
          <w:iCs w:val="0"/>
          <w:szCs w:val="21"/>
        </w:rPr>
        <w:t>八、毕业及授位</w:t>
      </w:r>
      <w:r>
        <w:rPr>
          <w:rFonts w:ascii="宋体" w:cs="宋体"/>
          <w:b/>
          <w:bCs/>
          <w:i w:val="0"/>
          <w:iCs w:val="0"/>
          <w:szCs w:val="21"/>
        </w:rPr>
        <w:t> </w:t>
      </w:r>
    </w:p>
    <w:p w14:paraId="138DEAE1">
      <w:pPr>
        <w:spacing w:before="156" w:beforeLines="50" w:line="360" w:lineRule="auto"/>
        <w:ind w:firstLine="420" w:firstLineChars="200"/>
        <w:rPr>
          <w:rFonts w:hint="eastAsia" w:ascii="宋体" w:cs="宋体"/>
          <w:i w:val="0"/>
          <w:iCs w:val="0"/>
          <w:szCs w:val="21"/>
        </w:rPr>
      </w:pPr>
      <w:r>
        <w:rPr>
          <w:rFonts w:hint="eastAsia" w:ascii="宋体" w:hAnsi="宋体" w:cs="宋体"/>
          <w:i w:val="0"/>
          <w:iCs w:val="0"/>
          <w:szCs w:val="21"/>
        </w:rPr>
        <w:t>研究生在规定学习年限内修满培养方案规定学分，完成培养环节，考核合格，方可申请学位（毕业）论文答辩，通过论文答辩者，则准予毕业，发给毕业证书；符合学位授予条件者，根据《惠州学院硕士学位授予工作细则（试行）》授予硕士学位。</w:t>
      </w:r>
      <w:r>
        <w:rPr>
          <w:rFonts w:hint="eastAsia" w:ascii="宋体" w:hAnsi="宋体" w:cs="宋体"/>
          <w:b/>
          <w:i w:val="0"/>
          <w:iCs w:val="0"/>
          <w:szCs w:val="21"/>
        </w:rPr>
        <w:t>（申请学位研究成果要求，由各专业领域根据自身水平和特点作出规定）</w:t>
      </w:r>
      <w:r>
        <w:rPr>
          <w:rFonts w:hint="eastAsia" w:ascii="宋体" w:hAnsi="宋体" w:cs="宋体"/>
          <w:i w:val="0"/>
          <w:iCs w:val="0"/>
          <w:szCs w:val="21"/>
        </w:rPr>
        <w:t>。</w:t>
      </w:r>
    </w:p>
    <w:p w14:paraId="2D569774">
      <w:pPr>
        <w:rPr>
          <w:rFonts w:hint="eastAsia" w:ascii="宋体" w:cs="宋体"/>
          <w:b/>
          <w:sz w:val="28"/>
          <w:szCs w:val="28"/>
        </w:rPr>
      </w:pPr>
      <w:r>
        <w:rPr>
          <w:rFonts w:ascii="宋体" w:cs="宋体"/>
          <w:szCs w:val="21"/>
        </w:rPr>
        <w:br w:type="page"/>
      </w:r>
      <w:r>
        <w:rPr>
          <w:rFonts w:hint="eastAsia" w:ascii="宋体" w:cs="宋体"/>
          <w:b/>
          <w:sz w:val="28"/>
          <w:szCs w:val="28"/>
        </w:rPr>
        <w:t>附表：</w:t>
      </w:r>
    </w:p>
    <w:p w14:paraId="17B16545">
      <w:pPr>
        <w:ind w:firstLine="576"/>
        <w:jc w:val="center"/>
        <w:rPr>
          <w:rFonts w:hint="eastAsia"/>
          <w:b/>
          <w:sz w:val="28"/>
          <w:szCs w:val="28"/>
        </w:rPr>
      </w:pPr>
      <w:r>
        <w:rPr>
          <w:rFonts w:hint="eastAsia"/>
          <w:b/>
          <w:sz w:val="28"/>
          <w:szCs w:val="28"/>
        </w:rPr>
        <w:t>课程设置和必修环节</w:t>
      </w:r>
    </w:p>
    <w:tbl>
      <w:tblPr>
        <w:tblStyle w:val="7"/>
        <w:tblW w:w="787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183"/>
        <w:gridCol w:w="2763"/>
        <w:gridCol w:w="782"/>
        <w:gridCol w:w="625"/>
        <w:gridCol w:w="782"/>
        <w:gridCol w:w="625"/>
        <w:gridCol w:w="1118"/>
      </w:tblGrid>
      <w:tr w14:paraId="3791AC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51" w:hRule="atLeast"/>
          <w:jc w:val="center"/>
        </w:trPr>
        <w:tc>
          <w:tcPr>
            <w:tcW w:w="1183" w:type="dxa"/>
            <w:tcBorders>
              <w:top w:val="single" w:color="000000" w:sz="6" w:space="0"/>
              <w:bottom w:val="single" w:color="000000" w:sz="6" w:space="0"/>
              <w:right w:val="single" w:color="000000" w:sz="6" w:space="0"/>
            </w:tcBorders>
            <w:tcMar>
              <w:top w:w="75" w:type="dxa"/>
              <w:left w:w="75" w:type="dxa"/>
              <w:bottom w:w="75" w:type="dxa"/>
              <w:right w:w="75" w:type="dxa"/>
            </w:tcMar>
            <w:vAlign w:val="center"/>
          </w:tcPr>
          <w:p w14:paraId="00DD3DC8">
            <w:pPr>
              <w:widowControl/>
              <w:snapToGrid w:val="0"/>
              <w:spacing w:line="296" w:lineRule="exact"/>
              <w:ind w:left="-105" w:leftChars="-50" w:right="-105" w:rightChars="-50"/>
              <w:jc w:val="center"/>
              <w:rPr>
                <w:rFonts w:hint="eastAsia"/>
                <w:color w:val="000000"/>
                <w:kern w:val="0"/>
                <w:sz w:val="18"/>
                <w:szCs w:val="18"/>
              </w:rPr>
            </w:pPr>
            <w:r>
              <w:rPr>
                <w:rFonts w:hint="eastAsia" w:hAnsi="Verdana"/>
                <w:b/>
                <w:bCs/>
                <w:color w:val="000000"/>
                <w:kern w:val="0"/>
                <w:sz w:val="18"/>
                <w:szCs w:val="18"/>
              </w:rPr>
              <w:t>课程类别</w:t>
            </w:r>
          </w:p>
        </w:tc>
        <w:tc>
          <w:tcPr>
            <w:tcW w:w="27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513DFA">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课程名称</w:t>
            </w:r>
          </w:p>
        </w:tc>
        <w:tc>
          <w:tcPr>
            <w:tcW w:w="78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AFE358">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学时</w:t>
            </w:r>
          </w:p>
        </w:tc>
        <w:tc>
          <w:tcPr>
            <w:tcW w:w="6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17BEB3">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学分</w:t>
            </w:r>
          </w:p>
        </w:tc>
        <w:tc>
          <w:tcPr>
            <w:tcW w:w="78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A39F41">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开课</w:t>
            </w:r>
            <w:r>
              <w:rPr>
                <w:b/>
                <w:bCs/>
                <w:color w:val="000000"/>
                <w:kern w:val="0"/>
                <w:sz w:val="18"/>
                <w:szCs w:val="18"/>
              </w:rPr>
              <w:br w:type="textWrapping"/>
            </w:r>
            <w:r>
              <w:rPr>
                <w:rFonts w:hint="eastAsia" w:hAnsi="Verdana"/>
                <w:b/>
                <w:bCs/>
                <w:color w:val="000000"/>
                <w:kern w:val="0"/>
                <w:sz w:val="18"/>
                <w:szCs w:val="18"/>
              </w:rPr>
              <w:t>学期</w:t>
            </w:r>
          </w:p>
        </w:tc>
        <w:tc>
          <w:tcPr>
            <w:tcW w:w="6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858D9B">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考核</w:t>
            </w:r>
            <w:r>
              <w:rPr>
                <w:b/>
                <w:bCs/>
                <w:color w:val="000000"/>
                <w:kern w:val="0"/>
                <w:sz w:val="18"/>
                <w:szCs w:val="18"/>
              </w:rPr>
              <w:br w:type="textWrapping"/>
            </w:r>
            <w:r>
              <w:rPr>
                <w:rFonts w:hint="eastAsia" w:hAnsi="Verdana"/>
                <w:b/>
                <w:bCs/>
                <w:color w:val="000000"/>
                <w:kern w:val="0"/>
                <w:sz w:val="18"/>
                <w:szCs w:val="18"/>
              </w:rPr>
              <w:t>方式</w:t>
            </w:r>
          </w:p>
        </w:tc>
        <w:tc>
          <w:tcPr>
            <w:tcW w:w="1118" w:type="dxa"/>
            <w:tcBorders>
              <w:top w:val="single" w:color="000000" w:sz="6" w:space="0"/>
              <w:left w:val="single" w:color="000000" w:sz="6" w:space="0"/>
              <w:bottom w:val="single" w:color="000000" w:sz="6" w:space="0"/>
            </w:tcBorders>
            <w:tcMar>
              <w:top w:w="75" w:type="dxa"/>
              <w:left w:w="75" w:type="dxa"/>
              <w:bottom w:w="75" w:type="dxa"/>
              <w:right w:w="75" w:type="dxa"/>
            </w:tcMar>
            <w:vAlign w:val="center"/>
          </w:tcPr>
          <w:p w14:paraId="33F98BAA">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备注</w:t>
            </w:r>
          </w:p>
        </w:tc>
      </w:tr>
      <w:tr w14:paraId="2F3CC2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restart"/>
            <w:tcBorders>
              <w:top w:val="single" w:color="000000" w:sz="6" w:space="0"/>
              <w:right w:val="single" w:color="000000" w:sz="6" w:space="0"/>
            </w:tcBorders>
            <w:tcMar>
              <w:top w:w="15" w:type="dxa"/>
              <w:left w:w="200" w:type="dxa"/>
              <w:bottom w:w="15" w:type="dxa"/>
              <w:right w:w="160" w:type="dxa"/>
            </w:tcMar>
            <w:vAlign w:val="center"/>
          </w:tcPr>
          <w:p w14:paraId="5F1392AB">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rPr>
              <w:t>公共学位课</w:t>
            </w:r>
            <w:bookmarkStart w:id="1" w:name="_GoBack"/>
            <w:bookmarkEnd w:id="1"/>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964E3C1">
            <w:pPr>
              <w:widowControl/>
              <w:snapToGrid w:val="0"/>
              <w:spacing w:line="296" w:lineRule="exact"/>
              <w:ind w:left="-105" w:leftChars="-50" w:right="-105" w:rightChars="-50"/>
              <w:jc w:val="center"/>
              <w:rPr>
                <w:rFonts w:hint="eastAsia" w:ascii="宋体"/>
                <w:color w:val="auto"/>
                <w:kern w:val="0"/>
                <w:sz w:val="18"/>
                <w:szCs w:val="18"/>
              </w:rPr>
            </w:pPr>
            <w:r>
              <w:rPr>
                <w:rFonts w:hint="eastAsia" w:ascii="Times New Roman" w:hAnsi="宋体"/>
                <w:color w:val="auto"/>
                <w:kern w:val="0"/>
                <w:sz w:val="18"/>
                <w:szCs w:val="18"/>
              </w:rPr>
              <w:t>新时代中国特色社会主义理论与实践</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E6486B5">
            <w:pPr>
              <w:widowControl/>
              <w:snapToGrid w:val="0"/>
              <w:spacing w:line="296" w:lineRule="exact"/>
              <w:ind w:left="-105" w:leftChars="-50" w:right="-105" w:rightChars="-50"/>
              <w:jc w:val="center"/>
              <w:rPr>
                <w:rFonts w:ascii="宋体" w:hAnsi="宋体"/>
                <w:color w:val="auto"/>
                <w:kern w:val="0"/>
                <w:sz w:val="18"/>
                <w:szCs w:val="18"/>
              </w:rPr>
            </w:pPr>
            <w:r>
              <w:rPr>
                <w:rFonts w:ascii="Times New Roman" w:hAnsi="Times New Roman"/>
                <w:color w:val="auto"/>
                <w:kern w:val="0"/>
                <w:sz w:val="18"/>
                <w:szCs w:val="18"/>
              </w:rPr>
              <w:t>32</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A94D904">
            <w:pPr>
              <w:widowControl/>
              <w:snapToGrid w:val="0"/>
              <w:spacing w:line="296" w:lineRule="exact"/>
              <w:ind w:left="-105" w:leftChars="-50" w:right="-105" w:rightChars="-50"/>
              <w:jc w:val="center"/>
              <w:rPr>
                <w:rFonts w:ascii="宋体" w:hAnsi="宋体"/>
                <w:color w:val="auto"/>
                <w:kern w:val="0"/>
                <w:sz w:val="18"/>
                <w:szCs w:val="18"/>
              </w:rPr>
            </w:pPr>
            <w:r>
              <w:rPr>
                <w:rFonts w:ascii="Times New Roman" w:hAnsi="Times New Roman"/>
                <w:color w:val="auto"/>
                <w:kern w:val="0"/>
                <w:sz w:val="18"/>
                <w:szCs w:val="18"/>
              </w:rPr>
              <w:t>2</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E9895DA">
            <w:pPr>
              <w:widowControl/>
              <w:snapToGrid w:val="0"/>
              <w:spacing w:line="296" w:lineRule="exact"/>
              <w:ind w:left="-105" w:leftChars="-50" w:right="-105" w:rightChars="-50"/>
              <w:jc w:val="center"/>
              <w:rPr>
                <w:rFonts w:ascii="宋体" w:hAnsi="宋体"/>
                <w:color w:val="auto"/>
                <w:kern w:val="0"/>
                <w:sz w:val="18"/>
                <w:szCs w:val="18"/>
              </w:rPr>
            </w:pPr>
            <w:r>
              <w:rPr>
                <w:rFonts w:ascii="Times New Roman" w:hAnsi="Times New Roman"/>
                <w:color w:val="auto"/>
                <w:kern w:val="0"/>
                <w:sz w:val="18"/>
                <w:szCs w:val="18"/>
              </w:rPr>
              <w:t>1</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66ABCD8">
            <w:pPr>
              <w:widowControl/>
              <w:snapToGrid w:val="0"/>
              <w:spacing w:line="296" w:lineRule="exact"/>
              <w:ind w:left="-105" w:leftChars="-50" w:right="-105" w:rightChars="-50"/>
              <w:jc w:val="center"/>
              <w:rPr>
                <w:rFonts w:hint="eastAsia" w:ascii="宋体"/>
                <w:color w:val="auto"/>
                <w:kern w:val="0"/>
                <w:sz w:val="18"/>
                <w:szCs w:val="18"/>
              </w:rPr>
            </w:pPr>
            <w:r>
              <w:rPr>
                <w:rFonts w:ascii="Times New Roman" w:hAnsi="宋体"/>
                <w:color w:val="auto"/>
                <w:kern w:val="0"/>
                <w:sz w:val="18"/>
                <w:szCs w:val="18"/>
              </w:rPr>
              <w:t>考试</w:t>
            </w:r>
          </w:p>
        </w:tc>
        <w:tc>
          <w:tcPr>
            <w:tcW w:w="1118" w:type="dxa"/>
            <w:tcBorders>
              <w:top w:val="single" w:color="000000" w:sz="6" w:space="0"/>
              <w:left w:val="single" w:color="000000" w:sz="6" w:space="0"/>
              <w:bottom w:val="single" w:color="000000" w:sz="6" w:space="0"/>
            </w:tcBorders>
            <w:tcMar>
              <w:top w:w="15" w:type="dxa"/>
              <w:left w:w="200" w:type="dxa"/>
              <w:bottom w:w="15" w:type="dxa"/>
              <w:right w:w="160" w:type="dxa"/>
            </w:tcMar>
            <w:vAlign w:val="center"/>
          </w:tcPr>
          <w:p w14:paraId="2CDB2040">
            <w:pPr>
              <w:widowControl/>
              <w:snapToGrid w:val="0"/>
              <w:spacing w:line="296" w:lineRule="exact"/>
              <w:ind w:left="-105" w:leftChars="-50" w:right="-105" w:rightChars="-50"/>
              <w:jc w:val="center"/>
              <w:rPr>
                <w:rFonts w:hint="eastAsia"/>
                <w:color w:val="000000"/>
                <w:kern w:val="0"/>
                <w:sz w:val="18"/>
                <w:szCs w:val="18"/>
              </w:rPr>
            </w:pPr>
          </w:p>
        </w:tc>
      </w:tr>
      <w:tr w14:paraId="2CCF70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top w:val="single" w:color="000000" w:sz="6" w:space="0"/>
              <w:right w:val="single" w:color="000000" w:sz="6" w:space="0"/>
            </w:tcBorders>
            <w:tcMar>
              <w:top w:w="15" w:type="dxa"/>
              <w:left w:w="200" w:type="dxa"/>
              <w:bottom w:w="15" w:type="dxa"/>
              <w:right w:w="160" w:type="dxa"/>
            </w:tcMar>
            <w:vAlign w:val="center"/>
          </w:tcPr>
          <w:p w14:paraId="7EEA7AE4">
            <w:pPr>
              <w:widowControl/>
              <w:snapToGrid w:val="0"/>
              <w:spacing w:line="296" w:lineRule="exact"/>
              <w:ind w:left="-105" w:leftChars="-50" w:right="-105" w:rightChars="-50"/>
              <w:jc w:val="center"/>
              <w:rPr>
                <w:rFonts w:hAnsi="Verdan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7BFADD0">
            <w:pPr>
              <w:widowControl/>
              <w:snapToGrid w:val="0"/>
              <w:spacing w:line="296" w:lineRule="exact"/>
              <w:ind w:left="-105" w:leftChars="-50" w:right="-105" w:rightChars="-50"/>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英语</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1FB0401">
            <w:pPr>
              <w:widowControl/>
              <w:snapToGrid w:val="0"/>
              <w:spacing w:line="296" w:lineRule="exact"/>
              <w:ind w:left="-105" w:leftChars="-50" w:right="-105" w:rightChars="-50"/>
              <w:jc w:val="center"/>
              <w:rPr>
                <w:rFonts w:ascii="宋体" w:hAnsi="宋体"/>
                <w:color w:val="auto"/>
                <w:kern w:val="0"/>
                <w:sz w:val="18"/>
                <w:szCs w:val="18"/>
              </w:rPr>
            </w:pPr>
            <w:r>
              <w:rPr>
                <w:rFonts w:hint="eastAsia" w:ascii="宋体" w:hAnsi="宋体"/>
                <w:color w:val="auto"/>
                <w:kern w:val="0"/>
                <w:sz w:val="18"/>
                <w:szCs w:val="18"/>
              </w:rPr>
              <w:t>32</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4816F6A">
            <w:pPr>
              <w:widowControl/>
              <w:snapToGrid w:val="0"/>
              <w:spacing w:line="296" w:lineRule="exact"/>
              <w:ind w:left="-105" w:leftChars="-50" w:right="-105" w:rightChars="-50"/>
              <w:jc w:val="center"/>
              <w:rPr>
                <w:rFonts w:ascii="宋体" w:hAnsi="宋体"/>
                <w:color w:val="auto"/>
                <w:kern w:val="0"/>
                <w:sz w:val="18"/>
                <w:szCs w:val="18"/>
              </w:rPr>
            </w:pPr>
            <w:r>
              <w:rPr>
                <w:rFonts w:ascii="宋体" w:hAnsi="宋体"/>
                <w:color w:val="auto"/>
                <w:kern w:val="0"/>
                <w:sz w:val="18"/>
                <w:szCs w:val="18"/>
              </w:rPr>
              <w:t>2</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2B693F2">
            <w:pPr>
              <w:widowControl/>
              <w:snapToGrid w:val="0"/>
              <w:spacing w:line="296" w:lineRule="exact"/>
              <w:ind w:left="-105" w:leftChars="-50" w:right="-105" w:rightChars="-50"/>
              <w:jc w:val="center"/>
              <w:rPr>
                <w:rFonts w:ascii="宋体" w:hAnsi="宋体"/>
                <w:color w:val="auto"/>
                <w:kern w:val="0"/>
                <w:sz w:val="18"/>
                <w:szCs w:val="18"/>
              </w:rPr>
            </w:pPr>
            <w:r>
              <w:rPr>
                <w:rFonts w:ascii="宋体" w:hAnsi="宋体"/>
                <w:color w:val="auto"/>
                <w:kern w:val="0"/>
                <w:sz w:val="18"/>
                <w:szCs w:val="18"/>
              </w:rPr>
              <w:t>1</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AE5247C">
            <w:pPr>
              <w:widowControl/>
              <w:snapToGrid w:val="0"/>
              <w:spacing w:line="296" w:lineRule="exact"/>
              <w:ind w:left="-105" w:leftChars="-50" w:right="-105" w:rightChars="-50"/>
              <w:jc w:val="center"/>
              <w:rPr>
                <w:rFonts w:ascii="宋体" w:hAnsi="宋体"/>
                <w:color w:val="auto"/>
                <w:kern w:val="0"/>
                <w:sz w:val="18"/>
                <w:szCs w:val="18"/>
              </w:rPr>
            </w:pPr>
            <w:r>
              <w:rPr>
                <w:rFonts w:hint="eastAsia" w:ascii="宋体" w:hAnsi="宋体"/>
                <w:color w:val="auto"/>
                <w:kern w:val="0"/>
                <w:sz w:val="18"/>
                <w:szCs w:val="18"/>
              </w:rPr>
              <w:t>考试</w:t>
            </w:r>
          </w:p>
        </w:tc>
        <w:tc>
          <w:tcPr>
            <w:tcW w:w="1118" w:type="dxa"/>
            <w:tcBorders>
              <w:top w:val="single" w:color="000000" w:sz="6" w:space="0"/>
              <w:left w:val="single" w:color="000000" w:sz="6" w:space="0"/>
              <w:bottom w:val="single" w:color="000000" w:sz="6" w:space="0"/>
            </w:tcBorders>
            <w:tcMar>
              <w:top w:w="15" w:type="dxa"/>
              <w:left w:w="200" w:type="dxa"/>
              <w:bottom w:w="15" w:type="dxa"/>
              <w:right w:w="160" w:type="dxa"/>
            </w:tcMar>
            <w:vAlign w:val="center"/>
          </w:tcPr>
          <w:p w14:paraId="12AF0065">
            <w:pPr>
              <w:widowControl/>
              <w:snapToGrid w:val="0"/>
              <w:spacing w:line="296" w:lineRule="exact"/>
              <w:ind w:left="-105" w:leftChars="-50" w:right="-105" w:rightChars="-50"/>
              <w:jc w:val="center"/>
              <w:rPr>
                <w:rFonts w:hint="eastAsia"/>
                <w:color w:val="000000"/>
                <w:kern w:val="0"/>
                <w:sz w:val="18"/>
                <w:szCs w:val="18"/>
              </w:rPr>
            </w:pPr>
          </w:p>
        </w:tc>
      </w:tr>
      <w:tr w14:paraId="2704B2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4BFA3F50">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0230C64">
            <w:pPr>
              <w:widowControl/>
              <w:snapToGrid w:val="0"/>
              <w:spacing w:line="296" w:lineRule="exact"/>
              <w:ind w:left="-105" w:leftChars="-50" w:right="-105" w:rightChars="-50"/>
              <w:jc w:val="center"/>
              <w:rPr>
                <w:rFonts w:hint="eastAsia" w:ascii="宋体"/>
                <w:color w:val="auto"/>
                <w:kern w:val="0"/>
                <w:sz w:val="18"/>
                <w:szCs w:val="18"/>
              </w:rPr>
            </w:pPr>
            <w:r>
              <w:rPr>
                <w:rFonts w:hint="eastAsia" w:ascii="宋体"/>
                <w:color w:val="auto"/>
                <w:kern w:val="0"/>
                <w:sz w:val="18"/>
                <w:szCs w:val="18"/>
              </w:rPr>
              <w:t>马克思主义与社会科学方法论</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70FB398">
            <w:pPr>
              <w:widowControl/>
              <w:snapToGrid w:val="0"/>
              <w:spacing w:line="296" w:lineRule="exact"/>
              <w:ind w:left="-105" w:leftChars="-50" w:right="-105" w:rightChars="-50"/>
              <w:jc w:val="center"/>
              <w:rPr>
                <w:rFonts w:ascii="宋体" w:hAnsi="宋体"/>
                <w:color w:val="auto"/>
                <w:kern w:val="0"/>
                <w:sz w:val="18"/>
                <w:szCs w:val="18"/>
              </w:rPr>
            </w:pPr>
            <w:r>
              <w:rPr>
                <w:rFonts w:hint="eastAsia" w:ascii="宋体" w:hAnsi="宋体"/>
                <w:color w:val="auto"/>
                <w:kern w:val="0"/>
                <w:sz w:val="18"/>
                <w:szCs w:val="18"/>
              </w:rPr>
              <w:t>16</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1911880">
            <w:pPr>
              <w:widowControl/>
              <w:snapToGrid w:val="0"/>
              <w:spacing w:line="296" w:lineRule="exact"/>
              <w:ind w:left="-105" w:leftChars="-50" w:right="-105" w:rightChars="-50"/>
              <w:jc w:val="center"/>
              <w:rPr>
                <w:rFonts w:ascii="宋体" w:hAnsi="宋体"/>
                <w:color w:val="auto"/>
                <w:kern w:val="0"/>
                <w:sz w:val="18"/>
                <w:szCs w:val="18"/>
              </w:rPr>
            </w:pPr>
            <w:r>
              <w:rPr>
                <w:rFonts w:hint="eastAsia" w:ascii="宋体" w:hAnsi="宋体"/>
                <w:color w:val="auto"/>
                <w:kern w:val="0"/>
                <w:sz w:val="18"/>
                <w:szCs w:val="18"/>
              </w:rPr>
              <w:t>1</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6D6EB72">
            <w:pPr>
              <w:widowControl/>
              <w:snapToGrid w:val="0"/>
              <w:spacing w:line="296" w:lineRule="exact"/>
              <w:ind w:left="-105" w:leftChars="-50" w:right="-105" w:rightChars="-50"/>
              <w:jc w:val="center"/>
              <w:rPr>
                <w:rFonts w:ascii="宋体" w:hAnsi="宋体"/>
                <w:color w:val="auto"/>
                <w:kern w:val="0"/>
                <w:sz w:val="18"/>
                <w:szCs w:val="18"/>
              </w:rPr>
            </w:pPr>
            <w:r>
              <w:rPr>
                <w:rFonts w:hint="eastAsia" w:ascii="宋体" w:hAnsi="宋体"/>
                <w:color w:val="auto"/>
                <w:kern w:val="0"/>
                <w:sz w:val="18"/>
                <w:szCs w:val="18"/>
              </w:rPr>
              <w:t>1</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D45B012">
            <w:pPr>
              <w:widowControl/>
              <w:snapToGrid w:val="0"/>
              <w:spacing w:line="296" w:lineRule="exact"/>
              <w:ind w:left="-105" w:leftChars="-50" w:right="-105" w:rightChars="-50"/>
              <w:jc w:val="center"/>
              <w:rPr>
                <w:rFonts w:hint="eastAsia" w:ascii="宋体"/>
                <w:color w:val="auto"/>
                <w:kern w:val="0"/>
                <w:sz w:val="18"/>
                <w:szCs w:val="18"/>
              </w:rPr>
            </w:pPr>
            <w:r>
              <w:rPr>
                <w:rFonts w:hint="eastAsia" w:ascii="宋体" w:hAnsi="宋体"/>
                <w:color w:val="auto"/>
                <w:kern w:val="0"/>
                <w:sz w:val="18"/>
                <w:szCs w:val="18"/>
              </w:rPr>
              <w:t>考查</w:t>
            </w:r>
          </w:p>
        </w:tc>
        <w:tc>
          <w:tcPr>
            <w:tcW w:w="1118" w:type="dxa"/>
            <w:tcBorders>
              <w:left w:val="single" w:color="000000" w:sz="6" w:space="0"/>
            </w:tcBorders>
            <w:tcMar>
              <w:top w:w="15" w:type="dxa"/>
              <w:left w:w="200" w:type="dxa"/>
              <w:bottom w:w="15" w:type="dxa"/>
              <w:right w:w="160" w:type="dxa"/>
            </w:tcMar>
            <w:vAlign w:val="center"/>
          </w:tcPr>
          <w:p w14:paraId="0B91850C">
            <w:pPr>
              <w:widowControl/>
              <w:snapToGrid w:val="0"/>
              <w:spacing w:line="296" w:lineRule="exact"/>
              <w:ind w:left="-105" w:leftChars="-50" w:right="-105" w:rightChars="-50"/>
              <w:jc w:val="center"/>
              <w:rPr>
                <w:rFonts w:hint="eastAsia"/>
                <w:color w:val="000000"/>
                <w:kern w:val="0"/>
                <w:sz w:val="18"/>
                <w:szCs w:val="18"/>
              </w:rPr>
            </w:pPr>
          </w:p>
        </w:tc>
      </w:tr>
      <w:tr w14:paraId="705617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55368CE0">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AA5EAA0">
            <w:pPr>
              <w:widowControl/>
              <w:snapToGrid w:val="0"/>
              <w:ind w:left="-105" w:leftChars="-50" w:right="-105" w:rightChars="-50"/>
              <w:jc w:val="center"/>
              <w:rPr>
                <w:rFonts w:ascii="Times New Roman" w:hAnsi="Times New Roman"/>
                <w:color w:val="auto"/>
                <w:kern w:val="0"/>
                <w:sz w:val="18"/>
                <w:szCs w:val="18"/>
              </w:rPr>
            </w:pPr>
            <w:r>
              <w:rPr>
                <w:color w:val="auto"/>
                <w:spacing w:val="-1"/>
              </w:rPr>
              <w:t>研究方法与论文写</w:t>
            </w:r>
            <w:r>
              <w:rPr>
                <w:color w:val="auto"/>
                <w:spacing w:val="-5"/>
              </w:rPr>
              <w:t>作指导</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EF6C7F7">
            <w:pPr>
              <w:widowControl/>
              <w:snapToGrid w:val="0"/>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16</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91D01C4">
            <w:pPr>
              <w:widowControl/>
              <w:snapToGrid w:val="0"/>
              <w:ind w:left="-105" w:leftChars="-50" w:right="-105" w:rightChars="-5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1</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E9C817F">
            <w:pPr>
              <w:widowControl/>
              <w:snapToGrid w:val="0"/>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7931DB94">
            <w:pPr>
              <w:widowControl/>
              <w:snapToGrid w:val="0"/>
              <w:ind w:left="-105" w:leftChars="-50" w:right="-105" w:rightChars="-5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考查</w:t>
            </w:r>
          </w:p>
        </w:tc>
        <w:tc>
          <w:tcPr>
            <w:tcW w:w="1118" w:type="dxa"/>
            <w:tcBorders>
              <w:top w:val="single" w:color="000000" w:sz="6" w:space="0"/>
              <w:left w:val="single" w:color="000000" w:sz="6" w:space="0"/>
            </w:tcBorders>
            <w:tcMar>
              <w:top w:w="15" w:type="dxa"/>
              <w:left w:w="200" w:type="dxa"/>
              <w:bottom w:w="15" w:type="dxa"/>
              <w:right w:w="160" w:type="dxa"/>
            </w:tcMar>
            <w:vAlign w:val="center"/>
          </w:tcPr>
          <w:p w14:paraId="60F9413A">
            <w:pPr>
              <w:widowControl/>
              <w:snapToGrid w:val="0"/>
              <w:spacing w:line="296" w:lineRule="exact"/>
              <w:ind w:left="-105" w:leftChars="-50" w:right="-105" w:rightChars="-50"/>
              <w:jc w:val="center"/>
              <w:rPr>
                <w:rFonts w:hint="eastAsia"/>
                <w:color w:val="000000"/>
                <w:kern w:val="0"/>
                <w:sz w:val="18"/>
                <w:szCs w:val="18"/>
              </w:rPr>
            </w:pPr>
          </w:p>
        </w:tc>
      </w:tr>
      <w:tr w14:paraId="536227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restart"/>
            <w:tcBorders>
              <w:top w:val="single" w:color="000000" w:sz="6" w:space="0"/>
              <w:bottom w:val="single" w:color="000000" w:sz="6" w:space="0"/>
              <w:right w:val="single" w:color="000000" w:sz="6" w:space="0"/>
            </w:tcBorders>
            <w:tcMar>
              <w:top w:w="15" w:type="dxa"/>
              <w:left w:w="200" w:type="dxa"/>
              <w:bottom w:w="15" w:type="dxa"/>
              <w:right w:w="160" w:type="dxa"/>
            </w:tcMar>
            <w:vAlign w:val="center"/>
          </w:tcPr>
          <w:p w14:paraId="71653B15">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专业学位课</w:t>
            </w:r>
          </w:p>
          <w:p w14:paraId="18A4FC39">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rPr>
              <w:t>（</w:t>
            </w:r>
            <w:r>
              <w:rPr>
                <w:rFonts w:hint="eastAsia"/>
                <w:color w:val="000000"/>
                <w:kern w:val="0"/>
                <w:sz w:val="18"/>
                <w:szCs w:val="18"/>
              </w:rPr>
              <w:t>根据教指委指导性培养方案确定</w:t>
            </w:r>
            <w:r>
              <w:rPr>
                <w:rFonts w:hint="eastAsia" w:hAnsi="Verdana"/>
                <w:color w:val="000000"/>
                <w:kern w:val="0"/>
                <w:sz w:val="18"/>
                <w:szCs w:val="18"/>
              </w:rPr>
              <w:t>学分）</w:t>
            </w: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12E8967">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FCACABD">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4050D4F">
            <w:pPr>
              <w:widowControl/>
              <w:snapToGrid w:val="0"/>
              <w:spacing w:line="296" w:lineRule="exact"/>
              <w:ind w:left="-105" w:leftChars="-50" w:right="-105" w:rightChars="-50"/>
              <w:jc w:val="center"/>
              <w:rPr>
                <w:rFonts w:ascii="宋体" w:hAns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9F6B50C">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CF0E58B">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restart"/>
            <w:tcBorders>
              <w:top w:val="single" w:color="000000" w:sz="6" w:space="0"/>
              <w:left w:val="single" w:color="000000" w:sz="6" w:space="0"/>
            </w:tcBorders>
            <w:tcMar>
              <w:top w:w="15" w:type="dxa"/>
              <w:left w:w="200" w:type="dxa"/>
              <w:bottom w:w="15" w:type="dxa"/>
              <w:right w:w="160" w:type="dxa"/>
            </w:tcMar>
            <w:vAlign w:val="center"/>
          </w:tcPr>
          <w:p w14:paraId="73596A43">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根据教指委指导性培养方案设置领域主干课</w:t>
            </w:r>
          </w:p>
        </w:tc>
      </w:tr>
      <w:tr w14:paraId="3CC6F9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top w:val="single" w:color="000000" w:sz="6" w:space="0"/>
              <w:bottom w:val="single" w:color="000000" w:sz="6" w:space="0"/>
              <w:right w:val="single" w:color="000000" w:sz="6" w:space="0"/>
            </w:tcBorders>
            <w:vAlign w:val="center"/>
          </w:tcPr>
          <w:p w14:paraId="54E72B77">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8FF719B">
            <w:pPr>
              <w:widowControl/>
              <w:snapToGrid w:val="0"/>
              <w:ind w:left="-105" w:leftChars="-50" w:right="-105" w:rightChars="-50"/>
              <w:jc w:val="center"/>
              <w:rPr>
                <w:rFonts w:ascii="Times New Roman" w:hAnsi="Times New Roman"/>
                <w:kern w:val="0"/>
                <w:sz w:val="18"/>
                <w:szCs w:val="18"/>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E4D4BE7">
            <w:pPr>
              <w:widowControl/>
              <w:snapToGrid w:val="0"/>
              <w:ind w:left="-105" w:leftChars="-50" w:right="-105" w:rightChars="-50"/>
              <w:jc w:val="center"/>
              <w:rPr>
                <w:rFonts w:ascii="Times New Roman" w:hAnsi="Times New Roman"/>
                <w:kern w:val="0"/>
                <w:sz w:val="18"/>
                <w:szCs w:val="18"/>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D3585CC">
            <w:pPr>
              <w:widowControl/>
              <w:snapToGrid w:val="0"/>
              <w:ind w:left="-105" w:leftChars="-50" w:right="-105" w:rightChars="-50"/>
              <w:jc w:val="center"/>
              <w:rPr>
                <w:rFonts w:ascii="Times New Roman" w:hAnsi="Times New Roman"/>
                <w:kern w:val="0"/>
                <w:sz w:val="18"/>
                <w:szCs w:val="18"/>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8C27E2E">
            <w:pPr>
              <w:widowControl/>
              <w:snapToGrid w:val="0"/>
              <w:ind w:left="-105" w:leftChars="-50" w:right="-105" w:rightChars="-50"/>
              <w:jc w:val="center"/>
              <w:rPr>
                <w:rFonts w:ascii="Times New Roman" w:hAnsi="Times New Roman"/>
                <w:kern w:val="0"/>
                <w:sz w:val="18"/>
                <w:szCs w:val="18"/>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90B17EC">
            <w:pPr>
              <w:widowControl/>
              <w:snapToGrid w:val="0"/>
              <w:ind w:left="-105" w:leftChars="-50" w:right="-105" w:rightChars="-50"/>
              <w:jc w:val="center"/>
              <w:rPr>
                <w:rFonts w:ascii="Times New Roman" w:hAnsi="Times New Roman"/>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34F7CCB7">
            <w:pPr>
              <w:widowControl/>
              <w:snapToGrid w:val="0"/>
              <w:spacing w:line="296" w:lineRule="exact"/>
              <w:ind w:left="-105" w:leftChars="-50" w:right="-105" w:rightChars="-50"/>
              <w:jc w:val="center"/>
              <w:rPr>
                <w:rFonts w:hint="eastAsia"/>
                <w:color w:val="000000"/>
                <w:kern w:val="0"/>
                <w:sz w:val="18"/>
                <w:szCs w:val="18"/>
              </w:rPr>
            </w:pPr>
          </w:p>
        </w:tc>
      </w:tr>
      <w:tr w14:paraId="7E4B7F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top w:val="single" w:color="000000" w:sz="6" w:space="0"/>
              <w:bottom w:val="single" w:color="000000" w:sz="6" w:space="0"/>
              <w:right w:val="single" w:color="000000" w:sz="6" w:space="0"/>
            </w:tcBorders>
            <w:vAlign w:val="center"/>
          </w:tcPr>
          <w:p w14:paraId="74AF04FD">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F12D20F">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6C0B8CA">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65F9211">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37009EA">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5369B10">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258C20A5">
            <w:pPr>
              <w:widowControl/>
              <w:snapToGrid w:val="0"/>
              <w:spacing w:line="296" w:lineRule="exact"/>
              <w:ind w:left="-105" w:leftChars="-50" w:right="-105" w:rightChars="-50"/>
              <w:jc w:val="center"/>
              <w:rPr>
                <w:rFonts w:hint="eastAsia"/>
                <w:color w:val="000000"/>
                <w:kern w:val="0"/>
                <w:sz w:val="18"/>
                <w:szCs w:val="18"/>
              </w:rPr>
            </w:pPr>
          </w:p>
        </w:tc>
      </w:tr>
      <w:tr w14:paraId="68608F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top w:val="single" w:color="000000" w:sz="6" w:space="0"/>
              <w:bottom w:val="single" w:color="000000" w:sz="6" w:space="0"/>
              <w:right w:val="single" w:color="000000" w:sz="6" w:space="0"/>
            </w:tcBorders>
            <w:vAlign w:val="center"/>
          </w:tcPr>
          <w:p w14:paraId="0339B761">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3745BBD">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C7C73B6">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0B79F9E">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FB15F5D">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DE871CB">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7E81FB03">
            <w:pPr>
              <w:widowControl/>
              <w:snapToGrid w:val="0"/>
              <w:spacing w:line="296" w:lineRule="exact"/>
              <w:ind w:left="-105" w:leftChars="-50" w:right="-105" w:rightChars="-50"/>
              <w:jc w:val="center"/>
              <w:rPr>
                <w:rFonts w:hint="eastAsia"/>
                <w:color w:val="000000"/>
                <w:kern w:val="0"/>
                <w:sz w:val="18"/>
                <w:szCs w:val="18"/>
              </w:rPr>
            </w:pPr>
          </w:p>
        </w:tc>
      </w:tr>
      <w:tr w14:paraId="7AC91A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top w:val="single" w:color="000000" w:sz="6" w:space="0"/>
              <w:bottom w:val="single" w:color="000000" w:sz="6" w:space="0"/>
              <w:right w:val="single" w:color="000000" w:sz="6" w:space="0"/>
            </w:tcBorders>
            <w:vAlign w:val="center"/>
          </w:tcPr>
          <w:p w14:paraId="25D3A59F">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5B1E340">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494C60D">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34BD1ED">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F619014">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AB024DC">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02F29E56">
            <w:pPr>
              <w:widowControl/>
              <w:snapToGrid w:val="0"/>
              <w:spacing w:line="296" w:lineRule="exact"/>
              <w:ind w:left="-105" w:leftChars="-50" w:right="-105" w:rightChars="-50"/>
              <w:jc w:val="center"/>
              <w:rPr>
                <w:rFonts w:hint="eastAsia"/>
                <w:color w:val="000000"/>
                <w:kern w:val="0"/>
                <w:sz w:val="18"/>
                <w:szCs w:val="18"/>
              </w:rPr>
            </w:pPr>
          </w:p>
        </w:tc>
      </w:tr>
      <w:tr w14:paraId="776DA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restart"/>
            <w:tcBorders>
              <w:top w:val="single" w:color="000000" w:sz="6" w:space="0"/>
              <w:right w:val="single" w:color="000000" w:sz="6" w:space="0"/>
            </w:tcBorders>
            <w:tcMar>
              <w:top w:w="15" w:type="dxa"/>
              <w:left w:w="200" w:type="dxa"/>
              <w:bottom w:w="15" w:type="dxa"/>
              <w:right w:w="160" w:type="dxa"/>
            </w:tcMar>
            <w:vAlign w:val="center"/>
          </w:tcPr>
          <w:p w14:paraId="3B6BCB51">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选修课</w:t>
            </w:r>
          </w:p>
          <w:p w14:paraId="0FA8113A">
            <w:pPr>
              <w:widowControl/>
              <w:snapToGrid w:val="0"/>
              <w:spacing w:line="296" w:lineRule="exact"/>
              <w:ind w:left="-105" w:leftChars="-50" w:right="-105" w:rightChars="-50"/>
              <w:jc w:val="center"/>
              <w:rPr>
                <w:rFonts w:hAnsi="Verdana"/>
                <w:kern w:val="0"/>
                <w:sz w:val="18"/>
                <w:szCs w:val="18"/>
              </w:rPr>
            </w:pPr>
            <w:r>
              <w:rPr>
                <w:rFonts w:hint="eastAsia" w:hAnsi="Verdana"/>
                <w:kern w:val="0"/>
                <w:sz w:val="18"/>
                <w:szCs w:val="18"/>
              </w:rPr>
              <w:t>（</w:t>
            </w:r>
            <w:r>
              <w:rPr>
                <w:rFonts w:hint="eastAsia"/>
                <w:color w:val="000000"/>
                <w:kern w:val="0"/>
                <w:sz w:val="18"/>
                <w:szCs w:val="18"/>
              </w:rPr>
              <w:t>根据教指委指导性培养方案确定</w:t>
            </w:r>
            <w:r>
              <w:rPr>
                <w:rFonts w:hint="eastAsia" w:hAnsi="Verdana"/>
                <w:color w:val="000000"/>
                <w:kern w:val="0"/>
                <w:sz w:val="18"/>
                <w:szCs w:val="18"/>
              </w:rPr>
              <w:t>学分</w:t>
            </w:r>
            <w:r>
              <w:rPr>
                <w:rFonts w:hint="eastAsia" w:hAnsi="Verdana"/>
                <w:kern w:val="0"/>
                <w:sz w:val="18"/>
                <w:szCs w:val="18"/>
              </w:rPr>
              <w:t>）</w:t>
            </w: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263F4A4">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E7F6CEA">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06372B8">
            <w:pPr>
              <w:widowControl/>
              <w:snapToGrid w:val="0"/>
              <w:spacing w:line="296" w:lineRule="exact"/>
              <w:ind w:left="-105" w:leftChars="-50" w:right="-105" w:rightChars="-50"/>
              <w:jc w:val="center"/>
              <w:rPr>
                <w:rFonts w:ascii="宋体" w:hAns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830446A">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85387BB">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restart"/>
            <w:tcBorders>
              <w:top w:val="single" w:color="000000" w:sz="6" w:space="0"/>
              <w:left w:val="single" w:color="000000" w:sz="6" w:space="0"/>
            </w:tcBorders>
            <w:tcMar>
              <w:top w:w="15" w:type="dxa"/>
              <w:left w:w="200" w:type="dxa"/>
              <w:bottom w:w="15" w:type="dxa"/>
              <w:right w:w="160" w:type="dxa"/>
            </w:tcMar>
            <w:vAlign w:val="center"/>
          </w:tcPr>
          <w:p w14:paraId="03C272EF">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根据教指委指导性培养方案，结合实际设置专业课，应注重实用性、综合性，可开设职业资格认证相衔接的课程、职业素养课程、案例课程、实践课程</w:t>
            </w:r>
          </w:p>
        </w:tc>
      </w:tr>
      <w:tr w14:paraId="445A23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480F9396">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159B62C">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B17F7B0">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73FE791">
            <w:pPr>
              <w:widowControl/>
              <w:snapToGrid w:val="0"/>
              <w:spacing w:line="296" w:lineRule="exact"/>
              <w:ind w:left="-105" w:leftChars="-50" w:right="-105" w:rightChars="-50"/>
              <w:jc w:val="center"/>
              <w:rPr>
                <w:rFonts w:ascii="宋体" w:hAns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7E8A548">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2B5161A">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4FBE7A5F">
            <w:pPr>
              <w:widowControl/>
              <w:snapToGrid w:val="0"/>
              <w:spacing w:line="296" w:lineRule="exact"/>
              <w:ind w:left="-105" w:leftChars="-50" w:right="-105" w:rightChars="-50"/>
              <w:jc w:val="center"/>
              <w:rPr>
                <w:rFonts w:hint="eastAsia"/>
                <w:color w:val="000000"/>
                <w:kern w:val="0"/>
                <w:sz w:val="18"/>
                <w:szCs w:val="18"/>
              </w:rPr>
            </w:pPr>
          </w:p>
        </w:tc>
      </w:tr>
      <w:tr w14:paraId="3DA35B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69A8568A">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9624E98">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8DBDA7D">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D60A519">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3738588">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DB8D667">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7ECE6F3C">
            <w:pPr>
              <w:widowControl/>
              <w:snapToGrid w:val="0"/>
              <w:spacing w:line="296" w:lineRule="exact"/>
              <w:ind w:left="-105" w:leftChars="-50" w:right="-105" w:rightChars="-50"/>
              <w:jc w:val="center"/>
              <w:rPr>
                <w:rFonts w:hint="eastAsia"/>
                <w:color w:val="000000"/>
                <w:kern w:val="0"/>
                <w:sz w:val="18"/>
                <w:szCs w:val="18"/>
              </w:rPr>
            </w:pPr>
          </w:p>
        </w:tc>
      </w:tr>
      <w:tr w14:paraId="034D25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7C199E7A">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E23B629">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626ED4A">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A5243D0">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BADAE59">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0DDFA1F">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563EC2D1">
            <w:pPr>
              <w:widowControl/>
              <w:snapToGrid w:val="0"/>
              <w:spacing w:line="296" w:lineRule="exact"/>
              <w:ind w:left="-105" w:leftChars="-50" w:right="-105" w:rightChars="-50"/>
              <w:jc w:val="center"/>
              <w:rPr>
                <w:rFonts w:hint="eastAsia"/>
                <w:color w:val="000000"/>
                <w:kern w:val="0"/>
                <w:sz w:val="18"/>
                <w:szCs w:val="18"/>
              </w:rPr>
            </w:pPr>
          </w:p>
        </w:tc>
      </w:tr>
      <w:tr w14:paraId="0EF375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42EB93C0">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EF26419">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E79F991">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F10036F">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B603DCB">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A586940">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14C6AE40">
            <w:pPr>
              <w:widowControl/>
              <w:snapToGrid w:val="0"/>
              <w:spacing w:line="296" w:lineRule="exact"/>
              <w:ind w:left="-105" w:leftChars="-50" w:right="-105" w:rightChars="-50"/>
              <w:jc w:val="center"/>
              <w:rPr>
                <w:rFonts w:hint="eastAsia"/>
                <w:color w:val="000000"/>
                <w:kern w:val="0"/>
                <w:sz w:val="18"/>
                <w:szCs w:val="18"/>
              </w:rPr>
            </w:pPr>
          </w:p>
        </w:tc>
      </w:tr>
      <w:tr w14:paraId="04DA6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1336F16A">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A39B3C0">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0620F8A">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3C60233">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E84C89E">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7147D35">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tcBorders>
            <w:tcMar>
              <w:top w:w="15" w:type="dxa"/>
              <w:left w:w="200" w:type="dxa"/>
              <w:bottom w:w="15" w:type="dxa"/>
              <w:right w:w="160" w:type="dxa"/>
            </w:tcMar>
            <w:vAlign w:val="center"/>
          </w:tcPr>
          <w:p w14:paraId="5223A9A1">
            <w:pPr>
              <w:widowControl/>
              <w:snapToGrid w:val="0"/>
              <w:spacing w:line="296" w:lineRule="exact"/>
              <w:ind w:left="-105" w:leftChars="-50" w:right="-105" w:rightChars="-50"/>
              <w:jc w:val="center"/>
              <w:rPr>
                <w:rFonts w:hint="eastAsia"/>
                <w:color w:val="000000"/>
                <w:kern w:val="0"/>
                <w:sz w:val="18"/>
                <w:szCs w:val="18"/>
              </w:rPr>
            </w:pPr>
          </w:p>
        </w:tc>
      </w:tr>
      <w:tr w14:paraId="61397D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7F62BF8E">
            <w:pPr>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9920E17">
            <w:pPr>
              <w:widowControl/>
              <w:snapToGrid w:val="0"/>
              <w:spacing w:line="296" w:lineRule="exact"/>
              <w:ind w:left="-105" w:leftChars="-50" w:right="-105" w:rightChars="-50"/>
              <w:jc w:val="center"/>
              <w:rPr>
                <w:rFonts w:hint="eastAsia" w:ascii="宋体" w:cs="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A368767">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AA1068E">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710F2E4">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8CAA769">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vMerge w:val="continue"/>
            <w:tcBorders>
              <w:left w:val="single" w:color="000000" w:sz="6" w:space="0"/>
              <w:bottom w:val="single" w:color="000000" w:sz="6" w:space="0"/>
            </w:tcBorders>
            <w:tcMar>
              <w:top w:w="15" w:type="dxa"/>
              <w:left w:w="200" w:type="dxa"/>
              <w:bottom w:w="15" w:type="dxa"/>
              <w:right w:w="160" w:type="dxa"/>
            </w:tcMar>
            <w:vAlign w:val="center"/>
          </w:tcPr>
          <w:p w14:paraId="73DB17BC">
            <w:pPr>
              <w:widowControl/>
              <w:snapToGrid w:val="0"/>
              <w:spacing w:line="296" w:lineRule="exact"/>
              <w:ind w:left="-105" w:leftChars="-50" w:right="-105" w:rightChars="-50"/>
              <w:jc w:val="center"/>
              <w:rPr>
                <w:rFonts w:hint="eastAsia"/>
                <w:color w:val="000000"/>
                <w:kern w:val="0"/>
                <w:sz w:val="18"/>
                <w:szCs w:val="18"/>
              </w:rPr>
            </w:pPr>
          </w:p>
        </w:tc>
      </w:tr>
      <w:tr w14:paraId="4DFD10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6" w:hRule="atLeast"/>
          <w:jc w:val="center"/>
        </w:trPr>
        <w:tc>
          <w:tcPr>
            <w:tcW w:w="1183" w:type="dxa"/>
            <w:vMerge w:val="restart"/>
            <w:tcBorders>
              <w:top w:val="single" w:color="auto" w:sz="4" w:space="0"/>
              <w:left w:val="single" w:color="auto" w:sz="4" w:space="0"/>
              <w:right w:val="single" w:color="000000" w:sz="6" w:space="0"/>
            </w:tcBorders>
            <w:vAlign w:val="center"/>
          </w:tcPr>
          <w:p w14:paraId="14127CA7">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公共选修课</w:t>
            </w:r>
          </w:p>
        </w:tc>
        <w:tc>
          <w:tcPr>
            <w:tcW w:w="2763" w:type="dxa"/>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38348EB9">
            <w:pPr>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lang w:val="en-US" w:eastAsia="zh-CN"/>
              </w:rPr>
              <w:t>人工智能与</w:t>
            </w:r>
            <w:r>
              <w:rPr>
                <w:rFonts w:hint="eastAsia" w:ascii="宋体" w:hAnsi="宋体"/>
                <w:color w:val="000000"/>
                <w:kern w:val="0"/>
                <w:sz w:val="18"/>
                <w:szCs w:val="18"/>
              </w:rPr>
              <w:t>文献检索</w:t>
            </w:r>
          </w:p>
        </w:tc>
        <w:tc>
          <w:tcPr>
            <w:tcW w:w="782" w:type="dxa"/>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6E7997E1">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16</w:t>
            </w:r>
          </w:p>
        </w:tc>
        <w:tc>
          <w:tcPr>
            <w:tcW w:w="625" w:type="dxa"/>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6E107DAC">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782" w:type="dxa"/>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31779471">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625" w:type="dxa"/>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5EB3E21E">
            <w:pPr>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考查</w:t>
            </w:r>
          </w:p>
        </w:tc>
        <w:tc>
          <w:tcPr>
            <w:tcW w:w="1118" w:type="dxa"/>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57B47306">
            <w:pPr>
              <w:widowControl/>
              <w:snapToGrid w:val="0"/>
              <w:spacing w:line="296" w:lineRule="exact"/>
              <w:ind w:left="-105" w:leftChars="-50" w:right="-105" w:rightChars="-50"/>
              <w:jc w:val="center"/>
              <w:rPr>
                <w:rFonts w:hint="eastAsia"/>
                <w:color w:val="000000"/>
                <w:kern w:val="0"/>
                <w:sz w:val="18"/>
                <w:szCs w:val="18"/>
              </w:rPr>
            </w:pPr>
          </w:p>
        </w:tc>
      </w:tr>
      <w:tr w14:paraId="5BB143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left w:val="single" w:color="auto" w:sz="4" w:space="0"/>
              <w:right w:val="single" w:color="000000" w:sz="6" w:space="0"/>
            </w:tcBorders>
            <w:vAlign w:val="center"/>
          </w:tcPr>
          <w:p w14:paraId="16ED76E9">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4397CB2">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cs="宋体"/>
                <w:color w:val="000000"/>
                <w:kern w:val="0"/>
                <w:sz w:val="18"/>
                <w:szCs w:val="18"/>
              </w:rPr>
              <w:t>体育选修课</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71DC8B44">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16</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F769BFA">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02ECAE4">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A1AD367">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考查</w:t>
            </w:r>
          </w:p>
        </w:tc>
        <w:tc>
          <w:tcPr>
            <w:tcW w:w="1118" w:type="dxa"/>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7536E839">
            <w:pPr>
              <w:widowControl/>
              <w:snapToGrid w:val="0"/>
              <w:spacing w:line="296" w:lineRule="exact"/>
              <w:ind w:left="-105" w:leftChars="-50" w:right="-105" w:rightChars="-50"/>
              <w:jc w:val="center"/>
              <w:rPr>
                <w:rFonts w:hint="eastAsia"/>
                <w:color w:val="000000"/>
                <w:kern w:val="0"/>
                <w:sz w:val="18"/>
                <w:szCs w:val="18"/>
              </w:rPr>
            </w:pPr>
          </w:p>
        </w:tc>
      </w:tr>
      <w:tr w14:paraId="19998B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left w:val="single" w:color="auto" w:sz="4" w:space="0"/>
              <w:right w:val="single" w:color="000000" w:sz="6" w:space="0"/>
            </w:tcBorders>
            <w:vAlign w:val="center"/>
          </w:tcPr>
          <w:p w14:paraId="45CE848F">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C841C21">
            <w:pPr>
              <w:widowControl/>
              <w:snapToGrid w:val="0"/>
              <w:spacing w:line="296" w:lineRule="exact"/>
              <w:ind w:left="-105" w:leftChars="-50" w:right="-105" w:rightChars="-50"/>
              <w:jc w:val="center"/>
              <w:rPr>
                <w:rFonts w:hint="eastAsia" w:ascii="宋体"/>
                <w:color w:val="000000"/>
                <w:kern w:val="0"/>
                <w:sz w:val="18"/>
                <w:szCs w:val="18"/>
                <w:highlight w:val="yellow"/>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DFCE324">
            <w:pPr>
              <w:widowControl/>
              <w:snapToGrid w:val="0"/>
              <w:spacing w:line="296" w:lineRule="exact"/>
              <w:ind w:left="-105" w:leftChars="-50" w:right="-105" w:rightChars="-50"/>
              <w:jc w:val="center"/>
              <w:rPr>
                <w:rFonts w:hint="eastAsia" w:ascii="宋体"/>
                <w:color w:val="000000"/>
                <w:kern w:val="0"/>
                <w:sz w:val="18"/>
                <w:szCs w:val="18"/>
                <w:highlight w:val="yellow"/>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C656FB3">
            <w:pPr>
              <w:widowControl/>
              <w:snapToGrid w:val="0"/>
              <w:spacing w:line="296" w:lineRule="exact"/>
              <w:ind w:left="-105" w:leftChars="-50" w:right="-105" w:rightChars="-50"/>
              <w:jc w:val="center"/>
              <w:rPr>
                <w:rFonts w:hint="eastAsia" w:ascii="宋体"/>
                <w:color w:val="000000"/>
                <w:kern w:val="0"/>
                <w:sz w:val="18"/>
                <w:szCs w:val="18"/>
                <w:highlight w:val="yellow"/>
              </w:rPr>
            </w:pP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5B5C326">
            <w:pPr>
              <w:widowControl/>
              <w:snapToGrid w:val="0"/>
              <w:spacing w:line="296" w:lineRule="exact"/>
              <w:ind w:left="-105" w:leftChars="-50" w:right="-105" w:rightChars="-50"/>
              <w:jc w:val="center"/>
              <w:rPr>
                <w:rFonts w:hint="eastAsia" w:ascii="宋体"/>
                <w:color w:val="000000"/>
                <w:kern w:val="0"/>
                <w:sz w:val="18"/>
                <w:szCs w:val="18"/>
                <w:highlight w:val="yellow"/>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09AAC9F">
            <w:pPr>
              <w:widowControl/>
              <w:snapToGrid w:val="0"/>
              <w:spacing w:line="296" w:lineRule="exact"/>
              <w:ind w:left="-105" w:leftChars="-50" w:right="-105" w:rightChars="-50"/>
              <w:jc w:val="center"/>
              <w:rPr>
                <w:rFonts w:hint="eastAsia" w:ascii="宋体"/>
                <w:color w:val="000000"/>
                <w:kern w:val="0"/>
                <w:sz w:val="18"/>
                <w:szCs w:val="18"/>
                <w:highlight w:val="yellow"/>
              </w:rPr>
            </w:pPr>
          </w:p>
        </w:tc>
        <w:tc>
          <w:tcPr>
            <w:tcW w:w="1118" w:type="dxa"/>
            <w:tcBorders>
              <w:top w:val="single" w:color="auto" w:sz="4" w:space="0"/>
              <w:left w:val="single" w:color="000000" w:sz="6" w:space="0"/>
            </w:tcBorders>
            <w:tcMar>
              <w:top w:w="15" w:type="dxa"/>
              <w:left w:w="200" w:type="dxa"/>
              <w:bottom w:w="15" w:type="dxa"/>
              <w:right w:w="160" w:type="dxa"/>
            </w:tcMar>
            <w:vAlign w:val="center"/>
          </w:tcPr>
          <w:p w14:paraId="78A74175">
            <w:pPr>
              <w:widowControl/>
              <w:snapToGrid w:val="0"/>
              <w:spacing w:line="296" w:lineRule="exact"/>
              <w:ind w:left="-105" w:leftChars="-50" w:right="-105" w:rightChars="-50"/>
              <w:jc w:val="center"/>
              <w:rPr>
                <w:rFonts w:hint="eastAsia"/>
                <w:color w:val="000000"/>
                <w:kern w:val="0"/>
                <w:sz w:val="18"/>
                <w:szCs w:val="18"/>
              </w:rPr>
            </w:pPr>
          </w:p>
        </w:tc>
      </w:tr>
      <w:tr w14:paraId="2A9398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left w:val="single" w:color="auto" w:sz="4" w:space="0"/>
              <w:right w:val="single" w:color="000000" w:sz="6" w:space="0"/>
            </w:tcBorders>
            <w:vAlign w:val="center"/>
          </w:tcPr>
          <w:p w14:paraId="7D277FDC">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40AC937">
            <w:pPr>
              <w:widowControl/>
              <w:snapToGrid w:val="0"/>
              <w:spacing w:line="296" w:lineRule="exact"/>
              <w:ind w:left="-105" w:leftChars="-50" w:right="-105" w:rightChars="-50"/>
              <w:jc w:val="center"/>
              <w:rPr>
                <w:rFonts w:ascii="宋体" w:hAns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432AC50">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0F11167">
            <w:pPr>
              <w:widowControl/>
              <w:snapToGrid w:val="0"/>
              <w:spacing w:line="296" w:lineRule="exact"/>
              <w:ind w:left="-105" w:leftChars="-50" w:right="-105" w:rightChars="-50"/>
              <w:jc w:val="center"/>
              <w:rPr>
                <w:rFonts w:ascii="宋体" w:hAns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A0D4F4F">
            <w:pPr>
              <w:widowControl/>
              <w:snapToGrid w:val="0"/>
              <w:spacing w:line="296" w:lineRule="exact"/>
              <w:ind w:left="-105" w:leftChars="-50" w:right="-105" w:rightChars="-50"/>
              <w:jc w:val="center"/>
              <w:rPr>
                <w:rFonts w:ascii="宋体" w:hAnsi="宋体"/>
                <w:color w:val="000000"/>
                <w:kern w:val="0"/>
                <w:sz w:val="18"/>
                <w:szCs w:val="18"/>
              </w:rPr>
            </w:pPr>
          </w:p>
        </w:tc>
        <w:tc>
          <w:tcPr>
            <w:tcW w:w="625" w:type="dxa"/>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0ED5903C">
            <w:pPr>
              <w:widowControl/>
              <w:snapToGrid w:val="0"/>
              <w:spacing w:line="296" w:lineRule="exact"/>
              <w:ind w:left="-105" w:leftChars="-50" w:right="-105" w:rightChars="-50"/>
              <w:jc w:val="center"/>
              <w:rPr>
                <w:rFonts w:ascii="宋体" w:hAnsi="宋体"/>
                <w:color w:val="000000"/>
                <w:kern w:val="0"/>
                <w:sz w:val="18"/>
                <w:szCs w:val="18"/>
              </w:rPr>
            </w:pPr>
          </w:p>
        </w:tc>
        <w:tc>
          <w:tcPr>
            <w:tcW w:w="1118" w:type="dxa"/>
            <w:tcBorders>
              <w:top w:val="single" w:color="auto" w:sz="4" w:space="0"/>
              <w:left w:val="single" w:color="000000" w:sz="6" w:space="0"/>
            </w:tcBorders>
            <w:tcMar>
              <w:top w:w="15" w:type="dxa"/>
              <w:left w:w="200" w:type="dxa"/>
              <w:bottom w:w="15" w:type="dxa"/>
              <w:right w:w="160" w:type="dxa"/>
            </w:tcMar>
            <w:vAlign w:val="center"/>
          </w:tcPr>
          <w:p w14:paraId="2C645018">
            <w:pPr>
              <w:widowControl/>
              <w:snapToGrid w:val="0"/>
              <w:spacing w:line="296" w:lineRule="exact"/>
              <w:ind w:left="-105" w:leftChars="-50" w:right="-105" w:rightChars="-50"/>
              <w:jc w:val="center"/>
              <w:rPr>
                <w:rFonts w:hint="eastAsia"/>
                <w:color w:val="000000"/>
                <w:kern w:val="0"/>
                <w:sz w:val="18"/>
                <w:szCs w:val="18"/>
              </w:rPr>
            </w:pPr>
          </w:p>
        </w:tc>
      </w:tr>
      <w:tr w14:paraId="3BB0CB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left w:val="single" w:color="auto" w:sz="4" w:space="0"/>
              <w:right w:val="single" w:color="000000" w:sz="6" w:space="0"/>
            </w:tcBorders>
            <w:vAlign w:val="center"/>
          </w:tcPr>
          <w:p w14:paraId="67C9791D">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7A4DB2D">
            <w:pPr>
              <w:widowControl/>
              <w:snapToGrid w:val="0"/>
              <w:spacing w:line="296" w:lineRule="exact"/>
              <w:ind w:left="-105" w:leftChars="-50" w:right="-105" w:rightChars="-50"/>
              <w:jc w:val="center"/>
              <w:rPr>
                <w:rFonts w:ascii="Times New Roman" w:hAnsi="宋体"/>
                <w:b/>
                <w:bCs/>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AF4759F">
            <w:pPr>
              <w:widowControl/>
              <w:snapToGrid w:val="0"/>
              <w:spacing w:line="296" w:lineRule="exact"/>
              <w:ind w:left="-105" w:leftChars="-50" w:right="-105" w:rightChars="-50"/>
              <w:jc w:val="center"/>
              <w:rPr>
                <w:rFonts w:ascii="Times New Roman" w:hAnsi="Times New Roman"/>
                <w:b/>
                <w:bCs/>
                <w:color w:val="000000"/>
                <w:kern w:val="0"/>
                <w:sz w:val="18"/>
                <w:szCs w:val="18"/>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7E3D89C">
            <w:pPr>
              <w:widowControl/>
              <w:snapToGrid w:val="0"/>
              <w:spacing w:line="296" w:lineRule="exact"/>
              <w:ind w:left="-105" w:leftChars="-50" w:right="-105" w:rightChars="-50"/>
              <w:jc w:val="center"/>
              <w:rPr>
                <w:rFonts w:ascii="Times New Roman" w:hAnsi="Times New Roman"/>
                <w:b/>
                <w:bCs/>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C56884E">
            <w:pPr>
              <w:widowControl/>
              <w:snapToGrid w:val="0"/>
              <w:spacing w:line="296" w:lineRule="exact"/>
              <w:ind w:left="-105" w:leftChars="-50" w:right="-105" w:rightChars="-50"/>
              <w:jc w:val="center"/>
              <w:rPr>
                <w:rFonts w:ascii="Times New Roman" w:hAnsi="Times New Roman"/>
                <w:b/>
                <w:bCs/>
                <w:color w:val="000000"/>
                <w:kern w:val="0"/>
                <w:sz w:val="18"/>
                <w:szCs w:val="18"/>
              </w:rPr>
            </w:pPr>
          </w:p>
        </w:tc>
        <w:tc>
          <w:tcPr>
            <w:tcW w:w="625" w:type="dxa"/>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4C9094D7">
            <w:pPr>
              <w:widowControl/>
              <w:snapToGrid w:val="0"/>
              <w:spacing w:line="296" w:lineRule="exact"/>
              <w:ind w:left="-105" w:leftChars="-50" w:right="-105" w:rightChars="-50"/>
              <w:jc w:val="center"/>
              <w:rPr>
                <w:rFonts w:ascii="Times New Roman" w:hAnsi="宋体"/>
                <w:b/>
                <w:bCs/>
                <w:color w:val="000000"/>
                <w:kern w:val="0"/>
                <w:sz w:val="18"/>
                <w:szCs w:val="18"/>
              </w:rPr>
            </w:pPr>
          </w:p>
        </w:tc>
        <w:tc>
          <w:tcPr>
            <w:tcW w:w="1118" w:type="dxa"/>
            <w:tcBorders>
              <w:top w:val="single" w:color="auto" w:sz="4" w:space="0"/>
              <w:left w:val="single" w:color="000000" w:sz="6" w:space="0"/>
            </w:tcBorders>
            <w:tcMar>
              <w:top w:w="15" w:type="dxa"/>
              <w:left w:w="200" w:type="dxa"/>
              <w:bottom w:w="15" w:type="dxa"/>
              <w:right w:w="160" w:type="dxa"/>
            </w:tcMar>
            <w:vAlign w:val="center"/>
          </w:tcPr>
          <w:p w14:paraId="0CA403A8">
            <w:pPr>
              <w:widowControl/>
              <w:snapToGrid w:val="0"/>
              <w:spacing w:line="296" w:lineRule="exact"/>
              <w:ind w:left="-105" w:leftChars="-50" w:right="-105" w:rightChars="-50"/>
              <w:jc w:val="center"/>
              <w:rPr>
                <w:rFonts w:hint="eastAsia"/>
                <w:color w:val="000000"/>
                <w:kern w:val="0"/>
                <w:sz w:val="18"/>
                <w:szCs w:val="18"/>
              </w:rPr>
            </w:pPr>
          </w:p>
        </w:tc>
      </w:tr>
      <w:tr w14:paraId="2DB87F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tcBorders>
              <w:top w:val="single" w:color="auto" w:sz="4" w:space="0"/>
              <w:bottom w:val="single" w:color="000000" w:sz="6" w:space="0"/>
              <w:right w:val="single" w:color="000000" w:sz="6" w:space="0"/>
            </w:tcBorders>
            <w:vAlign w:val="center"/>
          </w:tcPr>
          <w:p w14:paraId="67D0F6AC">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必修环节</w:t>
            </w:r>
          </w:p>
        </w:tc>
        <w:tc>
          <w:tcPr>
            <w:tcW w:w="2763"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9E82151">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专业实践</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AEAF1E4">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661B7C5">
            <w:pPr>
              <w:widowControl/>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6</w:t>
            </w:r>
          </w:p>
        </w:tc>
        <w:tc>
          <w:tcPr>
            <w:tcW w:w="782"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746492A">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3</w:t>
            </w:r>
            <w:r>
              <w:rPr>
                <w:rFonts w:hint="eastAsia" w:ascii="宋体" w:hAnsi="宋体"/>
                <w:color w:val="000000"/>
                <w:kern w:val="0"/>
                <w:sz w:val="18"/>
                <w:szCs w:val="18"/>
              </w:rPr>
              <w:t>-</w:t>
            </w:r>
            <w:r>
              <w:rPr>
                <w:rFonts w:ascii="宋体" w:hAnsi="宋体"/>
                <w:color w:val="000000"/>
                <w:kern w:val="0"/>
                <w:sz w:val="18"/>
                <w:szCs w:val="18"/>
              </w:rPr>
              <w:t>5</w:t>
            </w:r>
          </w:p>
        </w:tc>
        <w:tc>
          <w:tcPr>
            <w:tcW w:w="625" w:type="dxa"/>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4F514C2">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考查</w:t>
            </w:r>
          </w:p>
        </w:tc>
        <w:tc>
          <w:tcPr>
            <w:tcW w:w="1118" w:type="dxa"/>
            <w:tcBorders>
              <w:top w:val="single" w:color="000000" w:sz="6" w:space="0"/>
              <w:left w:val="single" w:color="000000" w:sz="6" w:space="0"/>
              <w:bottom w:val="single" w:color="auto" w:sz="4" w:space="0"/>
            </w:tcBorders>
            <w:tcMar>
              <w:top w:w="15" w:type="dxa"/>
              <w:left w:w="200" w:type="dxa"/>
              <w:bottom w:w="15" w:type="dxa"/>
              <w:right w:w="160" w:type="dxa"/>
            </w:tcMar>
            <w:vAlign w:val="center"/>
          </w:tcPr>
          <w:p w14:paraId="42A7A3CF">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不少于6个月</w:t>
            </w:r>
          </w:p>
        </w:tc>
      </w:tr>
      <w:tr w14:paraId="63DC09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restart"/>
            <w:tcBorders>
              <w:top w:val="single" w:color="000000" w:sz="6" w:space="0"/>
              <w:right w:val="single" w:color="000000" w:sz="6" w:space="0"/>
            </w:tcBorders>
            <w:tcMar>
              <w:top w:w="15" w:type="dxa"/>
              <w:left w:w="200" w:type="dxa"/>
              <w:bottom w:w="15" w:type="dxa"/>
              <w:right w:w="160" w:type="dxa"/>
            </w:tcMar>
            <w:vAlign w:val="center"/>
          </w:tcPr>
          <w:p w14:paraId="794FCED0">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lang w:val="en-US" w:eastAsia="zh-CN"/>
              </w:rPr>
              <w:t>必修</w:t>
            </w:r>
            <w:r>
              <w:rPr>
                <w:rFonts w:hint="eastAsia" w:hAnsi="Verdana"/>
                <w:color w:val="000000"/>
                <w:kern w:val="0"/>
                <w:sz w:val="18"/>
                <w:szCs w:val="18"/>
              </w:rPr>
              <w:t>课程</w:t>
            </w: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7DC6590">
            <w:pPr>
              <w:widowControl/>
              <w:snapToGrid w:val="0"/>
              <w:spacing w:line="296" w:lineRule="exact"/>
              <w:ind w:left="-105" w:leftChars="-50" w:right="-105" w:rightChars="-50"/>
              <w:jc w:val="center"/>
              <w:rPr>
                <w:rFonts w:hint="eastAsia" w:ascii="宋体" w:hAnsi="宋体"/>
                <w:color w:val="000000"/>
                <w:kern w:val="0"/>
                <w:sz w:val="18"/>
                <w:szCs w:val="18"/>
              </w:rPr>
            </w:pPr>
            <w:r>
              <w:rPr>
                <w:rFonts w:hint="eastAsia" w:ascii="宋体" w:hAnsi="宋体"/>
                <w:color w:val="000000"/>
                <w:kern w:val="0"/>
                <w:sz w:val="18"/>
                <w:szCs w:val="18"/>
              </w:rPr>
              <w:t>学术道德与学术规范教育</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A874276">
            <w:pPr>
              <w:widowControl/>
              <w:snapToGrid w:val="0"/>
              <w:spacing w:line="296" w:lineRule="exact"/>
              <w:ind w:left="-105" w:leftChars="-50" w:right="-105" w:rightChars="-50"/>
              <w:jc w:val="center"/>
              <w:rPr>
                <w:rFonts w:hint="eastAsia" w:ascii="宋体"/>
                <w:color w:val="000000"/>
                <w:kern w:val="0"/>
                <w:sz w:val="18"/>
                <w:szCs w:val="18"/>
              </w:rPr>
            </w:pPr>
            <w:r>
              <w:rPr>
                <w:spacing w:val="-8"/>
              </w:rPr>
              <w:t>0.25</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D5B47A7">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63FB887">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392B7008">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25D55545">
            <w:pPr>
              <w:widowControl/>
              <w:snapToGrid w:val="0"/>
              <w:spacing w:line="296" w:lineRule="exact"/>
              <w:ind w:left="-105" w:leftChars="-50" w:right="-105" w:rightChars="-50"/>
              <w:jc w:val="center"/>
              <w:rPr>
                <w:rFonts w:hint="eastAsia"/>
                <w:color w:val="000000"/>
                <w:kern w:val="0"/>
                <w:sz w:val="18"/>
                <w:szCs w:val="18"/>
              </w:rPr>
            </w:pPr>
          </w:p>
        </w:tc>
      </w:tr>
      <w:tr w14:paraId="4DE323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183" w:type="dxa"/>
            <w:vMerge w:val="continue"/>
            <w:tcBorders>
              <w:right w:val="single" w:color="000000" w:sz="6" w:space="0"/>
            </w:tcBorders>
            <w:vAlign w:val="center"/>
          </w:tcPr>
          <w:p w14:paraId="789836F7">
            <w:pPr>
              <w:widowControl/>
              <w:snapToGrid w:val="0"/>
              <w:spacing w:line="296" w:lineRule="exact"/>
              <w:ind w:left="-105" w:leftChars="-50" w:right="-105" w:rightChars="-50"/>
              <w:jc w:val="center"/>
              <w:rPr>
                <w:rFonts w:hint="eastAsia"/>
                <w:color w:val="000000"/>
                <w:kern w:val="0"/>
                <w:sz w:val="18"/>
                <w:szCs w:val="18"/>
              </w:rPr>
            </w:pPr>
          </w:p>
        </w:tc>
        <w:tc>
          <w:tcPr>
            <w:tcW w:w="2763"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AF5C6A4">
            <w:pPr>
              <w:widowControl/>
              <w:snapToGrid w:val="0"/>
              <w:spacing w:line="296" w:lineRule="exact"/>
              <w:ind w:left="-105" w:leftChars="-50" w:right="-105" w:rightChars="-50"/>
              <w:jc w:val="center"/>
              <w:rPr>
                <w:rFonts w:hint="eastAsia" w:ascii="宋体" w:hAnsi="宋体"/>
                <w:color w:val="000000"/>
                <w:kern w:val="0"/>
                <w:sz w:val="18"/>
                <w:szCs w:val="18"/>
              </w:rPr>
            </w:pPr>
            <w:r>
              <w:rPr>
                <w:rFonts w:hint="eastAsia" w:ascii="宋体" w:hAnsi="宋体"/>
                <w:color w:val="000000"/>
                <w:kern w:val="0"/>
                <w:sz w:val="18"/>
                <w:szCs w:val="18"/>
              </w:rPr>
              <w:t>心理健康教育</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3B92FB5">
            <w:pPr>
              <w:widowControl/>
              <w:snapToGrid w:val="0"/>
              <w:spacing w:line="296" w:lineRule="exact"/>
              <w:ind w:left="-105" w:leftChars="-50" w:right="-105" w:rightChars="-50"/>
              <w:jc w:val="center"/>
              <w:rPr>
                <w:rFonts w:hint="eastAsia" w:ascii="宋体"/>
                <w:color w:val="000000"/>
                <w:kern w:val="0"/>
                <w:sz w:val="18"/>
                <w:szCs w:val="18"/>
              </w:rPr>
            </w:pPr>
            <w:r>
              <w:rPr>
                <w:spacing w:val="-8"/>
              </w:rPr>
              <w:t>0.25</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CFBA639">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01CCE6E">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3A608092">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6C0B3FAA">
            <w:pPr>
              <w:widowControl/>
              <w:snapToGrid w:val="0"/>
              <w:spacing w:line="296" w:lineRule="exact"/>
              <w:ind w:left="-105" w:leftChars="-50" w:right="-105" w:rightChars="-50"/>
              <w:jc w:val="center"/>
              <w:rPr>
                <w:rFonts w:hint="eastAsia"/>
                <w:color w:val="000000"/>
                <w:kern w:val="0"/>
                <w:sz w:val="18"/>
                <w:szCs w:val="18"/>
              </w:rPr>
            </w:pPr>
          </w:p>
        </w:tc>
      </w:tr>
      <w:tr w14:paraId="43EB55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1" w:hRule="atLeast"/>
          <w:jc w:val="center"/>
        </w:trPr>
        <w:tc>
          <w:tcPr>
            <w:tcW w:w="1183" w:type="dxa"/>
            <w:vMerge w:val="continue"/>
            <w:tcBorders>
              <w:bottom w:val="single" w:color="auto" w:sz="4" w:space="0"/>
              <w:right w:val="single" w:color="000000" w:sz="6" w:space="0"/>
            </w:tcBorders>
            <w:vAlign w:val="center"/>
          </w:tcPr>
          <w:p w14:paraId="147A46CF">
            <w:pPr>
              <w:widowControl/>
              <w:snapToGrid w:val="0"/>
              <w:spacing w:line="296" w:lineRule="exact"/>
              <w:ind w:right="-105" w:rightChars="-50"/>
              <w:jc w:val="both"/>
              <w:rPr>
                <w:rFonts w:hint="eastAsia"/>
                <w:color w:val="000000"/>
                <w:kern w:val="0"/>
                <w:sz w:val="18"/>
                <w:szCs w:val="18"/>
              </w:rPr>
            </w:pPr>
          </w:p>
        </w:tc>
        <w:tc>
          <w:tcPr>
            <w:tcW w:w="2763" w:type="dxa"/>
            <w:tcBorders>
              <w:top w:val="single" w:color="000000" w:sz="6"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6CF835F3">
            <w:pPr>
              <w:widowControl/>
              <w:snapToGrid w:val="0"/>
              <w:spacing w:line="296" w:lineRule="exact"/>
              <w:ind w:left="-105" w:leftChars="-50" w:right="-105" w:rightChars="-50"/>
              <w:jc w:val="center"/>
              <w:rPr>
                <w:rFonts w:hint="eastAsia" w:ascii="宋体" w:hAnsi="宋体"/>
                <w:color w:val="000000"/>
                <w:kern w:val="0"/>
                <w:sz w:val="18"/>
                <w:szCs w:val="18"/>
              </w:rPr>
            </w:pPr>
            <w:r>
              <w:rPr>
                <w:rFonts w:hint="eastAsia" w:ascii="宋体" w:hAnsi="宋体"/>
                <w:color w:val="000000"/>
                <w:kern w:val="0"/>
                <w:sz w:val="18"/>
                <w:szCs w:val="18"/>
              </w:rPr>
              <w:t>行业交流活动</w:t>
            </w: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D8852DF">
            <w:pPr>
              <w:widowControl/>
              <w:snapToGrid w:val="0"/>
              <w:spacing w:line="296" w:lineRule="exact"/>
              <w:ind w:left="-105" w:leftChars="-50" w:right="-105" w:rightChars="-50"/>
              <w:jc w:val="center"/>
              <w:rPr>
                <w:rFonts w:hint="eastAsia" w:ascii="宋体"/>
                <w:color w:val="000000"/>
                <w:kern w:val="0"/>
                <w:sz w:val="18"/>
                <w:szCs w:val="18"/>
              </w:rPr>
            </w:pPr>
            <w:r>
              <w:rPr>
                <w:spacing w:val="-10"/>
              </w:rPr>
              <w:t>0.5</w:t>
            </w: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1325BC7">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390A071">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000000" w:sz="6"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2E179061">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63D6EBDD">
            <w:pPr>
              <w:widowControl/>
              <w:snapToGrid w:val="0"/>
              <w:spacing w:line="296" w:lineRule="exact"/>
              <w:ind w:right="-105" w:rightChars="-50"/>
              <w:jc w:val="both"/>
              <w:rPr>
                <w:rFonts w:hint="eastAsia"/>
                <w:color w:val="000000"/>
                <w:kern w:val="0"/>
                <w:sz w:val="18"/>
                <w:szCs w:val="18"/>
              </w:rPr>
            </w:pPr>
          </w:p>
        </w:tc>
      </w:tr>
      <w:tr w14:paraId="42608A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73"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6C80819C">
            <w:pPr>
              <w:widowControl/>
              <w:snapToGrid w:val="0"/>
              <w:spacing w:line="296" w:lineRule="exact"/>
              <w:ind w:right="-105" w:rightChars="-50"/>
              <w:jc w:val="center"/>
              <w:rPr>
                <w:rFonts w:hint="eastAsia"/>
                <w:color w:val="000000"/>
                <w:kern w:val="0"/>
                <w:sz w:val="18"/>
                <w:szCs w:val="18"/>
              </w:rPr>
            </w:pPr>
            <w:r>
              <w:rPr>
                <w:rFonts w:hint="eastAsia" w:hAnsi="Verdana"/>
                <w:color w:val="000000"/>
                <w:kern w:val="0"/>
                <w:sz w:val="18"/>
                <w:szCs w:val="18"/>
                <w:lang w:val="en-US" w:eastAsia="zh-CN"/>
              </w:rPr>
              <w:t>补修</w:t>
            </w:r>
          </w:p>
        </w:tc>
        <w:tc>
          <w:tcPr>
            <w:tcW w:w="2763"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39AF20BA">
            <w:pPr>
              <w:widowControl/>
              <w:snapToGrid w:val="0"/>
              <w:spacing w:line="296" w:lineRule="exact"/>
              <w:ind w:left="-105" w:leftChars="-50" w:right="-105" w:rightChars="-50"/>
              <w:jc w:val="center"/>
              <w:rPr>
                <w:rFonts w:hint="eastAsia" w:ascii="宋体" w:hAnsi="宋体"/>
                <w:color w:val="000000"/>
                <w:kern w:val="0"/>
                <w:sz w:val="18"/>
                <w:szCs w:val="18"/>
              </w:rPr>
            </w:pPr>
          </w:p>
        </w:tc>
        <w:tc>
          <w:tcPr>
            <w:tcW w:w="782" w:type="dxa"/>
            <w:tcBorders>
              <w:top w:val="single" w:color="000000" w:sz="6" w:space="0"/>
              <w:left w:val="single" w:color="auto" w:sz="4" w:space="0"/>
              <w:bottom w:val="single" w:color="000000" w:sz="6" w:space="0"/>
              <w:right w:val="single" w:color="000000" w:sz="6" w:space="0"/>
            </w:tcBorders>
            <w:tcMar>
              <w:top w:w="15" w:type="dxa"/>
              <w:left w:w="200" w:type="dxa"/>
              <w:bottom w:w="15" w:type="dxa"/>
              <w:right w:w="160" w:type="dxa"/>
            </w:tcMar>
            <w:vAlign w:val="center"/>
          </w:tcPr>
          <w:p w14:paraId="3FE93597">
            <w:pPr>
              <w:widowControl/>
              <w:snapToGrid w:val="0"/>
              <w:spacing w:line="296" w:lineRule="exact"/>
              <w:ind w:left="-105" w:leftChars="-50" w:right="-105" w:rightChars="-50"/>
              <w:jc w:val="center"/>
              <w:rPr>
                <w:spacing w:val="-10"/>
              </w:rPr>
            </w:pPr>
          </w:p>
        </w:tc>
        <w:tc>
          <w:tcPr>
            <w:tcW w:w="625" w:type="dxa"/>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853DAC2">
            <w:pPr>
              <w:widowControl/>
              <w:snapToGrid w:val="0"/>
              <w:spacing w:line="296" w:lineRule="exact"/>
              <w:ind w:left="-105" w:leftChars="-50" w:right="-105" w:rightChars="-50"/>
              <w:jc w:val="center"/>
              <w:rPr>
                <w:rFonts w:hint="eastAsia" w:ascii="宋体"/>
                <w:color w:val="000000"/>
                <w:kern w:val="0"/>
                <w:sz w:val="18"/>
                <w:szCs w:val="18"/>
              </w:rPr>
            </w:pPr>
          </w:p>
        </w:tc>
        <w:tc>
          <w:tcPr>
            <w:tcW w:w="782" w:type="dxa"/>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6169A2DD">
            <w:pPr>
              <w:widowControl/>
              <w:snapToGrid w:val="0"/>
              <w:spacing w:line="296" w:lineRule="exact"/>
              <w:ind w:left="-105" w:leftChars="-50" w:right="-105" w:rightChars="-50"/>
              <w:jc w:val="center"/>
              <w:rPr>
                <w:rFonts w:hint="eastAsia" w:ascii="宋体"/>
                <w:color w:val="000000"/>
                <w:kern w:val="0"/>
                <w:sz w:val="18"/>
                <w:szCs w:val="18"/>
              </w:rPr>
            </w:pPr>
          </w:p>
        </w:tc>
        <w:tc>
          <w:tcPr>
            <w:tcW w:w="625"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4693A9A0">
            <w:pPr>
              <w:widowControl/>
              <w:snapToGrid w:val="0"/>
              <w:spacing w:line="296" w:lineRule="exact"/>
              <w:ind w:left="-105" w:leftChars="-50" w:right="-105" w:rightChars="-50"/>
              <w:jc w:val="center"/>
              <w:rPr>
                <w:rFonts w:hint="eastAsia" w:ascii="宋体"/>
                <w:color w:val="000000"/>
                <w:kern w:val="0"/>
                <w:sz w:val="18"/>
                <w:szCs w:val="18"/>
              </w:rPr>
            </w:pPr>
          </w:p>
        </w:tc>
        <w:tc>
          <w:tcPr>
            <w:tcW w:w="1118" w:type="dxa"/>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6A9A1542">
            <w:pPr>
              <w:widowControl/>
              <w:snapToGrid w:val="0"/>
              <w:spacing w:line="296" w:lineRule="exact"/>
              <w:ind w:right="-105" w:rightChars="-50"/>
              <w:jc w:val="both"/>
              <w:rPr>
                <w:rFonts w:hint="eastAsia"/>
                <w:color w:val="000000"/>
                <w:kern w:val="0"/>
                <w:sz w:val="18"/>
                <w:szCs w:val="18"/>
              </w:rPr>
            </w:pPr>
            <w:r>
              <w:rPr>
                <w:rFonts w:hint="eastAsia" w:ascii="宋体" w:cs="宋体"/>
                <w:color w:val="000000"/>
                <w:kern w:val="0"/>
                <w:sz w:val="18"/>
                <w:szCs w:val="18"/>
                <w:lang w:val="en-US" w:eastAsia="zh-CN"/>
              </w:rPr>
              <w:t>补修课门数由导师确定，只记成绩，不计学分。</w:t>
            </w:r>
          </w:p>
        </w:tc>
      </w:tr>
    </w:tbl>
    <w:p w14:paraId="08A40A02">
      <w:pPr>
        <w:ind w:firstLine="560" w:firstLineChars="200"/>
        <w:rPr>
          <w:rFonts w:hint="eastAsia" w:ascii="宋体" w:cs="宋体"/>
          <w:sz w:val="28"/>
          <w:szCs w:val="28"/>
        </w:rPr>
      </w:pPr>
    </w:p>
    <w:p w14:paraId="70A4BA69">
      <w:pPr>
        <w:ind w:firstLine="600" w:firstLineChars="200"/>
        <w:rPr>
          <w:rFonts w:ascii="宋体" w:hAnsi="宋体" w:cs="宋体"/>
          <w:sz w:val="30"/>
          <w:szCs w:val="30"/>
        </w:rPr>
      </w:pPr>
    </w:p>
    <w:p w14:paraId="39961FD5">
      <w:pPr>
        <w:ind w:firstLine="600" w:firstLineChars="200"/>
        <w:rPr>
          <w:rFonts w:ascii="宋体" w:hAnsi="宋体" w:cs="宋体"/>
          <w:sz w:val="30"/>
          <w:szCs w:val="30"/>
        </w:rPr>
      </w:pPr>
    </w:p>
    <w:p w14:paraId="527512DE">
      <w:pPr>
        <w:ind w:firstLine="600" w:firstLineChars="200"/>
        <w:rPr>
          <w:rFonts w:ascii="宋体" w:hAnsi="宋体" w:cs="宋体"/>
          <w:sz w:val="30"/>
          <w:szCs w:val="30"/>
        </w:rPr>
      </w:pPr>
      <w:r>
        <w:rPr>
          <w:rFonts w:hint="eastAsia" w:ascii="宋体" w:hAnsi="宋体" w:cs="宋体"/>
          <w:sz w:val="30"/>
          <w:szCs w:val="30"/>
        </w:rPr>
        <w:t>培养学院院长：</w:t>
      </w:r>
    </w:p>
    <w:p w14:paraId="2A0F2DA4">
      <w:pPr>
        <w:ind w:firstLine="600" w:firstLineChars="200"/>
        <w:rPr>
          <w:rFonts w:ascii="宋体" w:hAnsi="宋体" w:cs="宋体"/>
          <w:sz w:val="30"/>
          <w:szCs w:val="30"/>
        </w:rPr>
      </w:pPr>
    </w:p>
    <w:p w14:paraId="38DA504D">
      <w:pPr>
        <w:ind w:firstLine="600" w:firstLineChars="200"/>
        <w:rPr>
          <w:rFonts w:ascii="宋体" w:hAnsi="宋体" w:cs="宋体"/>
          <w:sz w:val="30"/>
          <w:szCs w:val="30"/>
        </w:rPr>
      </w:pPr>
      <w:r>
        <w:rPr>
          <w:rFonts w:hint="eastAsia" w:ascii="宋体" w:hAnsi="宋体" w:cs="宋体"/>
          <w:sz w:val="30"/>
          <w:szCs w:val="30"/>
        </w:rPr>
        <w:t>工作小组成员：</w:t>
      </w:r>
    </w:p>
    <w:p w14:paraId="7C1F24CF">
      <w:pPr>
        <w:ind w:firstLine="560" w:firstLineChars="200"/>
        <w:rPr>
          <w:rFonts w:ascii="宋体" w:hAnsi="宋体" w:cs="宋体"/>
          <w:sz w:val="28"/>
          <w:szCs w:val="28"/>
        </w:rPr>
      </w:pPr>
    </w:p>
    <w:p w14:paraId="63231FB4">
      <w:pPr>
        <w:ind w:firstLine="4200" w:firstLineChars="1500"/>
        <w:rPr>
          <w:rFonts w:ascii="宋体" w:hAnsi="宋体" w:cs="宋体"/>
          <w:sz w:val="28"/>
          <w:szCs w:val="28"/>
        </w:rPr>
      </w:pPr>
    </w:p>
    <w:p w14:paraId="735EE813">
      <w:pPr>
        <w:ind w:firstLine="4200" w:firstLineChars="1500"/>
        <w:rPr>
          <w:rFonts w:ascii="宋体" w:hAnsi="宋体" w:cs="宋体"/>
          <w:sz w:val="28"/>
          <w:szCs w:val="28"/>
        </w:rPr>
      </w:pPr>
    </w:p>
    <w:p w14:paraId="29ABE422">
      <w:pPr>
        <w:ind w:firstLine="5040" w:firstLineChars="1800"/>
        <w:rPr>
          <w:rFonts w:hint="eastAsia" w:ascii="宋体" w:cs="宋体"/>
          <w:sz w:val="28"/>
          <w:szCs w:val="28"/>
        </w:rPr>
      </w:pPr>
      <w:r>
        <w:rPr>
          <w:rFonts w:ascii="宋体" w:hAnsi="宋体" w:cs="宋体"/>
          <w:sz w:val="28"/>
          <w:szCs w:val="28"/>
        </w:rPr>
        <w:t>X</w:t>
      </w:r>
      <w:r>
        <w:rPr>
          <w:rFonts w:hint="eastAsia" w:ascii="宋体" w:hAnsi="宋体" w:cs="宋体"/>
          <w:sz w:val="28"/>
          <w:szCs w:val="28"/>
        </w:rPr>
        <w:t>X</w:t>
      </w:r>
      <w:r>
        <w:rPr>
          <w:rFonts w:ascii="宋体" w:hAnsi="宋体" w:cs="宋体"/>
          <w:sz w:val="28"/>
          <w:szCs w:val="28"/>
        </w:rPr>
        <w:t>X</w:t>
      </w:r>
      <w:r>
        <w:rPr>
          <w:rFonts w:hint="eastAsia" w:ascii="宋体" w:hAnsi="宋体" w:cs="宋体"/>
          <w:sz w:val="28"/>
          <w:szCs w:val="28"/>
        </w:rPr>
        <w:t>学院（公章）</w:t>
      </w:r>
    </w:p>
    <w:p w14:paraId="4FC2DD2F">
      <w:pPr>
        <w:ind w:firstLine="5040" w:firstLineChars="1800"/>
        <w:rPr>
          <w:rFonts w:hint="eastAsia" w:ascii="宋体" w:cs="宋体"/>
          <w:sz w:val="28"/>
          <w:szCs w:val="28"/>
        </w:rPr>
      </w:pPr>
      <w:r>
        <w:rPr>
          <w:rFonts w:hint="eastAsia" w:ascii="宋体" w:hAnsi="宋体" w:cs="宋体"/>
          <w:sz w:val="28"/>
          <w:szCs w:val="28"/>
        </w:rPr>
        <w:t>日期：</w:t>
      </w: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233A">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EB092">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3EB092">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A14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FD5E">
    <w:pPr>
      <w:pStyle w:val="6"/>
      <w:pBdr>
        <w:top w:val="none" w:color="auto" w:sz="0" w:space="0"/>
        <w:left w:val="none" w:color="auto" w:sz="0" w:space="0"/>
        <w:bottom w:val="none" w:color="auto" w:sz="0" w:space="0"/>
        <w:right w:val="none" w:color="auto" w:sz="0" w:space="0"/>
      </w:pBdr>
      <w:jc w:val="right"/>
      <w:rPr>
        <w:rFonts w:hint="default" w:ascii="楷体" w:hAnsi="楷体" w:eastAsia="楷体" w:cs="楷体"/>
        <w:i/>
        <w:iCs/>
        <w:sz w:val="24"/>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AF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863C">
    <w:pPr>
      <w:pStyle w:val="6"/>
      <w:pBdr>
        <w:top w:val="none" w:color="auto" w:sz="0" w:space="0"/>
        <w:left w:val="none" w:color="auto" w:sz="0" w:space="0"/>
        <w:bottom w:val="none" w:color="auto" w:sz="0" w:space="0"/>
        <w:right w:val="none" w:color="auto" w:sz="0" w:space="0"/>
      </w:pBdr>
      <w:jc w:val="right"/>
      <w:rPr>
        <w:rFonts w:hint="default" w:ascii="楷体" w:hAnsi="楷体" w:eastAsia="楷体" w:cs="楷体"/>
        <w:i/>
        <w:iCs/>
        <w:sz w:val="24"/>
        <w:u w:val="single"/>
        <w:lang w:val="en-US" w:eastAsia="zh-CN"/>
      </w:rPr>
    </w:pPr>
    <w:r>
      <w:rPr>
        <w:rFonts w:hint="eastAsia" w:ascii="楷体" w:hAnsi="楷体" w:eastAsia="楷体" w:cs="楷体"/>
        <w:i/>
        <w:iCs/>
        <w:sz w:val="24"/>
        <w:u w:val="single"/>
        <w:lang w:eastAsia="zh-CN"/>
      </w:rPr>
      <w:t>惠州学院</w:t>
    </w:r>
    <w:r>
      <w:rPr>
        <w:rFonts w:hint="eastAsia" w:ascii="楷体" w:hAnsi="楷体" w:eastAsia="楷体" w:cs="楷体"/>
        <w:i/>
        <w:iCs/>
        <w:sz w:val="24"/>
        <w:u w:val="single"/>
        <w:lang w:val="en-US" w:eastAsia="zh-CN"/>
      </w:rPr>
      <w:t>专业学位硕士研究生</w:t>
    </w:r>
    <w:r>
      <w:rPr>
        <w:rFonts w:hint="eastAsia" w:ascii="楷体" w:hAnsi="楷体" w:eastAsia="楷体" w:cs="楷体"/>
        <w:i/>
        <w:iCs/>
        <w:sz w:val="24"/>
        <w:u w:val="single"/>
      </w:rPr>
      <w:t>培养方案</w:t>
    </w:r>
    <w:r>
      <w:rPr>
        <w:rFonts w:hint="eastAsia" w:ascii="楷体" w:hAnsi="楷体" w:eastAsia="楷体" w:cs="楷体"/>
        <w:i/>
        <w:iCs/>
        <w:sz w:val="24"/>
        <w:u w:val="single"/>
        <w:lang w:eastAsia="zh-CN"/>
      </w:rPr>
      <w:t>（</w:t>
    </w:r>
    <w:r>
      <w:rPr>
        <w:rFonts w:hint="eastAsia" w:ascii="楷体" w:hAnsi="楷体" w:eastAsia="楷体" w:cs="楷体"/>
        <w:i/>
        <w:iCs/>
        <w:sz w:val="24"/>
        <w:u w:val="single"/>
        <w:lang w:val="en-US" w:eastAsia="zh-CN"/>
      </w:rPr>
      <w:t>人文社科）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F9C7B"/>
    <w:multiLevelType w:val="singleLevel"/>
    <w:tmpl w:val="8C3F9C7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ZmIxYzI2OWIwNDI4MWRkYzQzODllNTgxYWU2NGUifQ=="/>
  </w:docVars>
  <w:rsids>
    <w:rsidRoot w:val="57B61B66"/>
    <w:rsid w:val="000456B9"/>
    <w:rsid w:val="00092E62"/>
    <w:rsid w:val="000E3078"/>
    <w:rsid w:val="001218F4"/>
    <w:rsid w:val="00143670"/>
    <w:rsid w:val="00145780"/>
    <w:rsid w:val="002023D6"/>
    <w:rsid w:val="00236E9A"/>
    <w:rsid w:val="00270773"/>
    <w:rsid w:val="00313405"/>
    <w:rsid w:val="003136E7"/>
    <w:rsid w:val="0031530A"/>
    <w:rsid w:val="0037018B"/>
    <w:rsid w:val="003737E3"/>
    <w:rsid w:val="003B1810"/>
    <w:rsid w:val="003F4A16"/>
    <w:rsid w:val="00483232"/>
    <w:rsid w:val="00491BFD"/>
    <w:rsid w:val="00494AA3"/>
    <w:rsid w:val="004C51C9"/>
    <w:rsid w:val="005206BA"/>
    <w:rsid w:val="00560908"/>
    <w:rsid w:val="0056231D"/>
    <w:rsid w:val="00575611"/>
    <w:rsid w:val="005930A3"/>
    <w:rsid w:val="00594282"/>
    <w:rsid w:val="005D7A6F"/>
    <w:rsid w:val="005F3C78"/>
    <w:rsid w:val="005F5E77"/>
    <w:rsid w:val="0060162D"/>
    <w:rsid w:val="0060430A"/>
    <w:rsid w:val="00617901"/>
    <w:rsid w:val="00620FDD"/>
    <w:rsid w:val="00627DC9"/>
    <w:rsid w:val="00646F0B"/>
    <w:rsid w:val="0069100F"/>
    <w:rsid w:val="006C37F4"/>
    <w:rsid w:val="00741D99"/>
    <w:rsid w:val="00744458"/>
    <w:rsid w:val="00751204"/>
    <w:rsid w:val="00754E10"/>
    <w:rsid w:val="007975D6"/>
    <w:rsid w:val="007A0F72"/>
    <w:rsid w:val="007C126C"/>
    <w:rsid w:val="00822E4A"/>
    <w:rsid w:val="0083748B"/>
    <w:rsid w:val="00846319"/>
    <w:rsid w:val="008C1D61"/>
    <w:rsid w:val="008D702D"/>
    <w:rsid w:val="008E211C"/>
    <w:rsid w:val="00931D7E"/>
    <w:rsid w:val="00943FB9"/>
    <w:rsid w:val="00955BB6"/>
    <w:rsid w:val="009945AD"/>
    <w:rsid w:val="009D3513"/>
    <w:rsid w:val="00A27EAE"/>
    <w:rsid w:val="00A849E0"/>
    <w:rsid w:val="00AA4064"/>
    <w:rsid w:val="00AB13AD"/>
    <w:rsid w:val="00B030B2"/>
    <w:rsid w:val="00B31BA6"/>
    <w:rsid w:val="00B65F76"/>
    <w:rsid w:val="00BB7F2D"/>
    <w:rsid w:val="00C4085B"/>
    <w:rsid w:val="00C64462"/>
    <w:rsid w:val="00CD393F"/>
    <w:rsid w:val="00CD3FAF"/>
    <w:rsid w:val="00CE463D"/>
    <w:rsid w:val="00D45E0A"/>
    <w:rsid w:val="00D65FD7"/>
    <w:rsid w:val="00DA7D66"/>
    <w:rsid w:val="00DD052C"/>
    <w:rsid w:val="00DD2145"/>
    <w:rsid w:val="00E06DDB"/>
    <w:rsid w:val="00E22027"/>
    <w:rsid w:val="00E4755D"/>
    <w:rsid w:val="00E94C80"/>
    <w:rsid w:val="00EE65EB"/>
    <w:rsid w:val="00EF7D3B"/>
    <w:rsid w:val="029D0B8A"/>
    <w:rsid w:val="04174B47"/>
    <w:rsid w:val="060E68C9"/>
    <w:rsid w:val="07077884"/>
    <w:rsid w:val="08406668"/>
    <w:rsid w:val="087150EF"/>
    <w:rsid w:val="089808CE"/>
    <w:rsid w:val="09DD4B61"/>
    <w:rsid w:val="0A0C1573"/>
    <w:rsid w:val="0E122BEF"/>
    <w:rsid w:val="11845EF6"/>
    <w:rsid w:val="14454767"/>
    <w:rsid w:val="15370F04"/>
    <w:rsid w:val="15C42195"/>
    <w:rsid w:val="17540089"/>
    <w:rsid w:val="1A7253F4"/>
    <w:rsid w:val="1BF234CE"/>
    <w:rsid w:val="1CE346BD"/>
    <w:rsid w:val="2409047A"/>
    <w:rsid w:val="28FE06D9"/>
    <w:rsid w:val="29427866"/>
    <w:rsid w:val="2A7A6756"/>
    <w:rsid w:val="2F2407C4"/>
    <w:rsid w:val="2F34284F"/>
    <w:rsid w:val="334C404D"/>
    <w:rsid w:val="355412D6"/>
    <w:rsid w:val="36242AFA"/>
    <w:rsid w:val="38012B29"/>
    <w:rsid w:val="3A073FB5"/>
    <w:rsid w:val="3BBA232E"/>
    <w:rsid w:val="3D3F6F8E"/>
    <w:rsid w:val="3F4005BC"/>
    <w:rsid w:val="40BF14B2"/>
    <w:rsid w:val="43B66CB4"/>
    <w:rsid w:val="442C7B41"/>
    <w:rsid w:val="48AE4FC8"/>
    <w:rsid w:val="49854EC0"/>
    <w:rsid w:val="499525D6"/>
    <w:rsid w:val="4A561D2E"/>
    <w:rsid w:val="4CDC380F"/>
    <w:rsid w:val="4CF82CB6"/>
    <w:rsid w:val="4D80608E"/>
    <w:rsid w:val="4DDF79D2"/>
    <w:rsid w:val="4FC7696F"/>
    <w:rsid w:val="50131BB5"/>
    <w:rsid w:val="50F61095"/>
    <w:rsid w:val="53FE231D"/>
    <w:rsid w:val="56A8077B"/>
    <w:rsid w:val="57B61B66"/>
    <w:rsid w:val="5AF01470"/>
    <w:rsid w:val="5D60020A"/>
    <w:rsid w:val="5E386234"/>
    <w:rsid w:val="64281FCB"/>
    <w:rsid w:val="6D133AEC"/>
    <w:rsid w:val="6FA67510"/>
    <w:rsid w:val="70AE3508"/>
    <w:rsid w:val="718A5DE3"/>
    <w:rsid w:val="75026274"/>
    <w:rsid w:val="75973B79"/>
    <w:rsid w:val="75AF5D58"/>
    <w:rsid w:val="76EA6BA6"/>
    <w:rsid w:val="7ACA7190"/>
    <w:rsid w:val="7C397D63"/>
    <w:rsid w:val="7E483E6D"/>
    <w:rsid w:val="7E713B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340" w:after="330" w:line="578" w:lineRule="auto"/>
      <w:jc w:val="center"/>
      <w:outlineLvl w:val="0"/>
    </w:pPr>
    <w:rPr>
      <w:b/>
      <w:bCs/>
      <w:kern w:val="44"/>
      <w:sz w:val="3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autoRedefine/>
    <w:qFormat/>
    <w:uiPriority w:val="99"/>
    <w:rPr>
      <w:rFonts w:cs="Times New Roman"/>
      <w:color w:val="1155CC"/>
      <w:u w:val="none"/>
    </w:rPr>
  </w:style>
  <w:style w:type="character" w:styleId="10">
    <w:name w:val="annotation reference"/>
    <w:basedOn w:val="8"/>
    <w:semiHidden/>
    <w:unhideWhenUsed/>
    <w:qFormat/>
    <w:uiPriority w:val="99"/>
    <w:rPr>
      <w:sz w:val="21"/>
      <w:szCs w:val="21"/>
    </w:rPr>
  </w:style>
  <w:style w:type="character" w:customStyle="1" w:styleId="11">
    <w:name w:val="标题 1 Char"/>
    <w:link w:val="2"/>
    <w:autoRedefine/>
    <w:qFormat/>
    <w:locked/>
    <w:uiPriority w:val="99"/>
    <w:rPr>
      <w:rFonts w:cs="Times New Roman"/>
      <w:b/>
      <w:bCs/>
      <w:kern w:val="44"/>
      <w:sz w:val="44"/>
      <w:szCs w:val="44"/>
    </w:rPr>
  </w:style>
  <w:style w:type="character" w:customStyle="1" w:styleId="12">
    <w:name w:val="页脚 Char"/>
    <w:link w:val="5"/>
    <w:autoRedefine/>
    <w:semiHidden/>
    <w:qFormat/>
    <w:locked/>
    <w:uiPriority w:val="99"/>
    <w:rPr>
      <w:rFonts w:cs="Times New Roman"/>
      <w:sz w:val="18"/>
      <w:szCs w:val="18"/>
    </w:rPr>
  </w:style>
  <w:style w:type="character" w:customStyle="1" w:styleId="13">
    <w:name w:val="页眉 Char"/>
    <w:link w:val="6"/>
    <w:autoRedefine/>
    <w:semiHidden/>
    <w:qFormat/>
    <w:locked/>
    <w:uiPriority w:val="99"/>
    <w:rPr>
      <w:rFonts w:cs="Times New Roman"/>
      <w:sz w:val="18"/>
      <w:szCs w:val="18"/>
    </w:rPr>
  </w:style>
  <w:style w:type="paragraph" w:customStyle="1" w:styleId="14">
    <w:name w:val="样式1"/>
    <w:basedOn w:val="1"/>
    <w:autoRedefine/>
    <w:qFormat/>
    <w:uiPriority w:val="99"/>
    <w:pPr>
      <w:widowControl/>
      <w:spacing w:line="360" w:lineRule="auto"/>
      <w:ind w:firstLine="200" w:firstLineChars="200"/>
    </w:pPr>
    <w:rPr>
      <w:kern w:val="0"/>
      <w:szCs w:val="20"/>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6</Pages>
  <Words>2949</Words>
  <Characters>2987</Characters>
  <Lines>17</Lines>
  <Paragraphs>4</Paragraphs>
  <TotalTime>0</TotalTime>
  <ScaleCrop>false</ScaleCrop>
  <LinksUpToDate>false</LinksUpToDate>
  <CharactersWithSpaces>3044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2017-03-03T07:21:00Z</dcterms:created>
  <dc:creator>Administrator</dc:creator>
  <cp:lastModifiedBy>邓姮</cp:lastModifiedBy>
  <cp:lastPrinted>2026-01-26T07:33:00Z</cp:lastPrinted>
  <dcterms:modified xsi:type="dcterms:W3CDTF">2026-01-26T09:12:45Z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0BBDD8AAE8EB41F3A32501AD5D779336_13</vt:lpwstr>
  </property>
</Properties>
</file>