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36FC8">
      <w:pPr>
        <w:autoSpaceDE/>
        <w:autoSpaceDN/>
        <w:spacing w:line="560" w:lineRule="exact"/>
        <w:jc w:val="both"/>
        <w:rPr>
          <w:rFonts w:hint="eastAsia" w:eastAsia="黑体"/>
          <w:kern w:val="2"/>
          <w:sz w:val="32"/>
          <w:szCs w:val="32"/>
          <w:lang w:eastAsia="zh-CN"/>
        </w:rPr>
      </w:pPr>
      <w:r>
        <w:rPr>
          <w:rFonts w:eastAsia="黑体"/>
          <w:kern w:val="2"/>
          <w:sz w:val="32"/>
          <w:szCs w:val="32"/>
          <w:lang w:eastAsia="zh-CN"/>
        </w:rPr>
        <w:t>附件</w:t>
      </w:r>
      <w:r>
        <w:rPr>
          <w:rFonts w:hint="eastAsia" w:eastAsia="黑体"/>
          <w:kern w:val="2"/>
          <w:sz w:val="32"/>
          <w:szCs w:val="32"/>
          <w:lang w:eastAsia="zh-CN"/>
        </w:rPr>
        <w:t xml:space="preserve"> 1</w:t>
      </w:r>
    </w:p>
    <w:p w14:paraId="026DCEFE">
      <w:pPr>
        <w:autoSpaceDE/>
        <w:autoSpaceDN/>
        <w:spacing w:line="560" w:lineRule="exact"/>
        <w:jc w:val="both"/>
        <w:rPr>
          <w:rFonts w:eastAsia="黑体"/>
          <w:kern w:val="2"/>
          <w:sz w:val="32"/>
          <w:szCs w:val="32"/>
          <w:lang w:eastAsia="zh-CN"/>
        </w:rPr>
      </w:pPr>
    </w:p>
    <w:p w14:paraId="2F916136">
      <w:pPr>
        <w:autoSpaceDE/>
        <w:autoSpaceDN/>
        <w:spacing w:line="560" w:lineRule="exact"/>
        <w:jc w:val="center"/>
        <w:rPr>
          <w:rFonts w:eastAsia="方正小标宋简体"/>
          <w:kern w:val="2"/>
          <w:sz w:val="40"/>
          <w:szCs w:val="40"/>
          <w:lang w:eastAsia="zh-CN"/>
        </w:rPr>
      </w:pPr>
      <w:r>
        <w:rPr>
          <w:rFonts w:eastAsia="方正小标宋简体"/>
          <w:kern w:val="2"/>
          <w:sz w:val="40"/>
          <w:szCs w:val="40"/>
          <w:lang w:eastAsia="zh-CN"/>
        </w:rPr>
        <w:t>广东省202</w:t>
      </w:r>
      <w:r>
        <w:rPr>
          <w:rFonts w:hint="eastAsia" w:eastAsia="方正小标宋简体"/>
          <w:kern w:val="2"/>
          <w:sz w:val="40"/>
          <w:szCs w:val="40"/>
          <w:lang w:val="en-US" w:eastAsia="zh-CN"/>
        </w:rPr>
        <w:t>6</w:t>
      </w:r>
      <w:r>
        <w:rPr>
          <w:rFonts w:eastAsia="方正小标宋简体"/>
          <w:kern w:val="2"/>
          <w:sz w:val="40"/>
          <w:szCs w:val="40"/>
          <w:lang w:eastAsia="zh-CN"/>
        </w:rPr>
        <w:t>年度教育科学规划课题</w:t>
      </w:r>
    </w:p>
    <w:p w14:paraId="11E22BE3">
      <w:pPr>
        <w:autoSpaceDE/>
        <w:autoSpaceDN/>
        <w:spacing w:line="560" w:lineRule="exact"/>
        <w:jc w:val="center"/>
        <w:rPr>
          <w:rFonts w:eastAsia="方正小标宋简体"/>
          <w:kern w:val="2"/>
          <w:sz w:val="40"/>
          <w:szCs w:val="40"/>
          <w:lang w:eastAsia="zh-CN"/>
        </w:rPr>
      </w:pPr>
      <w:r>
        <w:rPr>
          <w:rFonts w:eastAsia="方正小标宋简体"/>
          <w:kern w:val="2"/>
          <w:sz w:val="40"/>
          <w:szCs w:val="40"/>
          <w:lang w:eastAsia="zh-CN"/>
        </w:rPr>
        <w:t>（教育综合改革专项）选题指引</w:t>
      </w:r>
    </w:p>
    <w:p w14:paraId="29405CC0">
      <w:pPr>
        <w:autoSpaceDE/>
        <w:autoSpaceDN/>
        <w:spacing w:line="560" w:lineRule="exact"/>
        <w:jc w:val="center"/>
        <w:rPr>
          <w:rFonts w:eastAsia="方正小标宋简体"/>
          <w:kern w:val="2"/>
          <w:sz w:val="44"/>
          <w:szCs w:val="44"/>
          <w:lang w:eastAsia="zh-CN"/>
        </w:rPr>
      </w:pPr>
    </w:p>
    <w:tbl>
      <w:tblPr>
        <w:tblStyle w:val="3"/>
        <w:tblW w:w="14596" w:type="dxa"/>
        <w:tblInd w:w="-4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440"/>
        <w:gridCol w:w="4454"/>
        <w:gridCol w:w="3944"/>
        <w:gridCol w:w="1499"/>
        <w:gridCol w:w="1477"/>
      </w:tblGrid>
      <w:tr w14:paraId="7BCA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F7F5B9F">
            <w:pPr>
              <w:autoSpaceDE/>
              <w:autoSpaceDN/>
              <w:spacing w:line="0" w:lineRule="atLeast"/>
              <w:jc w:val="center"/>
              <w:rPr>
                <w:rFonts w:hint="eastAsia" w:ascii="黑体" w:hAnsi="黑体" w:eastAsia="黑体" w:cs="黑体"/>
                <w:b/>
                <w:bCs/>
                <w:kern w:val="2"/>
                <w:sz w:val="28"/>
                <w:szCs w:val="28"/>
                <w:lang w:eastAsia="zh-CN"/>
              </w:rPr>
            </w:pPr>
            <w:r>
              <w:rPr>
                <w:rFonts w:hint="eastAsia" w:ascii="黑体" w:hAnsi="黑体" w:eastAsia="黑体" w:cs="黑体"/>
                <w:b/>
                <w:bCs/>
                <w:kern w:val="2"/>
                <w:sz w:val="28"/>
                <w:szCs w:val="28"/>
                <w:lang w:eastAsia="zh-CN"/>
              </w:rPr>
              <w:t>序号</w:t>
            </w:r>
          </w:p>
        </w:tc>
        <w:tc>
          <w:tcPr>
            <w:tcW w:w="2440" w:type="dxa"/>
            <w:noWrap w:val="0"/>
            <w:vAlign w:val="center"/>
          </w:tcPr>
          <w:p w14:paraId="6CDE62F1">
            <w:pPr>
              <w:autoSpaceDE/>
              <w:autoSpaceDN/>
              <w:spacing w:line="0" w:lineRule="atLeast"/>
              <w:jc w:val="center"/>
              <w:rPr>
                <w:rFonts w:hint="eastAsia" w:ascii="黑体" w:hAnsi="黑体" w:eastAsia="黑体" w:cs="黑体"/>
                <w:b/>
                <w:bCs/>
                <w:kern w:val="2"/>
                <w:sz w:val="28"/>
                <w:szCs w:val="28"/>
                <w:lang w:eastAsia="zh-CN"/>
              </w:rPr>
            </w:pPr>
            <w:r>
              <w:rPr>
                <w:rFonts w:hint="eastAsia" w:ascii="黑体" w:hAnsi="黑体" w:eastAsia="黑体" w:cs="黑体"/>
                <w:b/>
                <w:bCs/>
                <w:kern w:val="2"/>
                <w:sz w:val="28"/>
                <w:szCs w:val="28"/>
                <w:lang w:eastAsia="zh-CN"/>
              </w:rPr>
              <w:t>选题名称</w:t>
            </w:r>
          </w:p>
        </w:tc>
        <w:tc>
          <w:tcPr>
            <w:tcW w:w="4454" w:type="dxa"/>
            <w:noWrap w:val="0"/>
            <w:vAlign w:val="center"/>
          </w:tcPr>
          <w:p w14:paraId="06222508">
            <w:pPr>
              <w:autoSpaceDE/>
              <w:autoSpaceDN/>
              <w:spacing w:line="0" w:lineRule="atLeast"/>
              <w:jc w:val="center"/>
              <w:rPr>
                <w:rFonts w:hint="eastAsia" w:ascii="黑体" w:hAnsi="黑体" w:eastAsia="黑体" w:cs="黑体"/>
                <w:b/>
                <w:bCs/>
                <w:kern w:val="2"/>
                <w:sz w:val="28"/>
                <w:szCs w:val="28"/>
                <w:lang w:eastAsia="zh-CN"/>
              </w:rPr>
            </w:pPr>
            <w:r>
              <w:rPr>
                <w:rFonts w:hint="eastAsia" w:ascii="黑体" w:hAnsi="黑体" w:eastAsia="黑体" w:cs="黑体"/>
                <w:b/>
                <w:bCs/>
                <w:kern w:val="2"/>
                <w:sz w:val="28"/>
                <w:szCs w:val="28"/>
                <w:lang w:eastAsia="zh-CN"/>
              </w:rPr>
              <w:t>选题意义</w:t>
            </w:r>
          </w:p>
        </w:tc>
        <w:tc>
          <w:tcPr>
            <w:tcW w:w="3944" w:type="dxa"/>
            <w:noWrap w:val="0"/>
            <w:vAlign w:val="center"/>
          </w:tcPr>
          <w:p w14:paraId="42DB9255">
            <w:pPr>
              <w:autoSpaceDE/>
              <w:autoSpaceDN/>
              <w:spacing w:line="0" w:lineRule="atLeast"/>
              <w:jc w:val="center"/>
              <w:rPr>
                <w:rFonts w:hint="eastAsia" w:ascii="黑体" w:hAnsi="黑体" w:eastAsia="黑体" w:cs="黑体"/>
                <w:b/>
                <w:bCs/>
                <w:kern w:val="2"/>
                <w:sz w:val="28"/>
                <w:szCs w:val="28"/>
                <w:lang w:eastAsia="zh-CN"/>
              </w:rPr>
            </w:pPr>
            <w:r>
              <w:rPr>
                <w:rFonts w:hint="eastAsia" w:ascii="黑体" w:hAnsi="黑体" w:eastAsia="黑体" w:cs="黑体"/>
                <w:b/>
                <w:bCs/>
                <w:kern w:val="2"/>
                <w:sz w:val="28"/>
                <w:szCs w:val="28"/>
                <w:lang w:eastAsia="zh-CN"/>
              </w:rPr>
              <w:t>研究内容</w:t>
            </w:r>
          </w:p>
        </w:tc>
        <w:tc>
          <w:tcPr>
            <w:tcW w:w="1499" w:type="dxa"/>
            <w:noWrap w:val="0"/>
            <w:vAlign w:val="center"/>
          </w:tcPr>
          <w:p w14:paraId="2A5E4213">
            <w:pPr>
              <w:autoSpaceDE/>
              <w:autoSpaceDN/>
              <w:spacing w:line="0" w:lineRule="atLeast"/>
              <w:jc w:val="center"/>
              <w:rPr>
                <w:rFonts w:hint="eastAsia" w:ascii="黑体" w:hAnsi="黑体" w:eastAsia="黑体" w:cs="黑体"/>
                <w:b/>
                <w:bCs/>
                <w:kern w:val="2"/>
                <w:sz w:val="28"/>
                <w:szCs w:val="28"/>
                <w:lang w:eastAsia="zh-CN"/>
              </w:rPr>
            </w:pPr>
            <w:r>
              <w:rPr>
                <w:rFonts w:hint="eastAsia" w:ascii="黑体" w:hAnsi="黑体" w:eastAsia="黑体" w:cs="黑体"/>
                <w:b/>
                <w:bCs/>
                <w:kern w:val="2"/>
                <w:sz w:val="28"/>
                <w:szCs w:val="28"/>
                <w:lang w:eastAsia="zh-CN"/>
              </w:rPr>
              <w:t>联系电话</w:t>
            </w:r>
          </w:p>
        </w:tc>
        <w:tc>
          <w:tcPr>
            <w:tcW w:w="1477" w:type="dxa"/>
            <w:noWrap w:val="0"/>
            <w:vAlign w:val="center"/>
          </w:tcPr>
          <w:p w14:paraId="7204458D">
            <w:pPr>
              <w:autoSpaceDE/>
              <w:autoSpaceDN/>
              <w:spacing w:line="0" w:lineRule="atLeast"/>
              <w:jc w:val="center"/>
              <w:rPr>
                <w:rFonts w:hint="eastAsia" w:ascii="黑体" w:hAnsi="黑体" w:eastAsia="黑体" w:cs="黑体"/>
                <w:b/>
                <w:bCs/>
                <w:kern w:val="2"/>
                <w:sz w:val="28"/>
                <w:szCs w:val="28"/>
                <w:lang w:eastAsia="zh-CN"/>
              </w:rPr>
            </w:pPr>
            <w:r>
              <w:rPr>
                <w:rFonts w:hint="eastAsia" w:ascii="黑体" w:hAnsi="黑体" w:eastAsia="黑体" w:cs="黑体"/>
                <w:b/>
                <w:bCs/>
                <w:kern w:val="2"/>
                <w:sz w:val="28"/>
                <w:szCs w:val="28"/>
                <w:lang w:eastAsia="zh-CN"/>
              </w:rPr>
              <w:t>指导处室</w:t>
            </w:r>
          </w:p>
        </w:tc>
      </w:tr>
      <w:tr w14:paraId="0247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72258385">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w:t>
            </w:r>
          </w:p>
        </w:tc>
        <w:tc>
          <w:tcPr>
            <w:tcW w:w="2440" w:type="dxa"/>
            <w:noWrap w:val="0"/>
            <w:vAlign w:val="center"/>
          </w:tcPr>
          <w:p w14:paraId="35D2417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一体推进教育科技人才评价联动研究</w:t>
            </w:r>
          </w:p>
        </w:tc>
        <w:tc>
          <w:tcPr>
            <w:tcW w:w="4454" w:type="dxa"/>
            <w:noWrap w:val="0"/>
            <w:vAlign w:val="center"/>
          </w:tcPr>
          <w:p w14:paraId="563F8CC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发展“十五五”规划》提出，要强化一体推进教育科技人才工作协同。强化评价联动是落实相关协调机制部署的重要抓手，有利于促进教育科技人才要素高效贯通、资源有机融合，为教育强国、教育强省建设提供更加坚实的制度保障与发展动能。</w:t>
            </w:r>
          </w:p>
        </w:tc>
        <w:tc>
          <w:tcPr>
            <w:tcW w:w="3944" w:type="dxa"/>
            <w:noWrap w:val="0"/>
            <w:vAlign w:val="center"/>
          </w:tcPr>
          <w:p w14:paraId="1EA6528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立足一体化推进教育科技人才战略部署，系统梳理教育评价、科技评价、人才评价的内在关联与价值共性，构建三者联动的评价逻辑框架，针对评价联动实践中存在的现实问题，探索评价指标统筹、数据共享、结果互认等评价联动的实现路径，为一体推进教育科技人才评价联动提供理论支撑与实践方案。</w:t>
            </w:r>
          </w:p>
        </w:tc>
        <w:tc>
          <w:tcPr>
            <w:tcW w:w="1499" w:type="dxa"/>
            <w:vMerge w:val="restart"/>
            <w:noWrap w:val="0"/>
            <w:vAlign w:val="center"/>
          </w:tcPr>
          <w:p w14:paraId="307B27E1">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020-37626956</w:t>
            </w:r>
          </w:p>
        </w:tc>
        <w:tc>
          <w:tcPr>
            <w:tcW w:w="1477" w:type="dxa"/>
            <w:vMerge w:val="restart"/>
            <w:noWrap w:val="0"/>
            <w:vAlign w:val="center"/>
          </w:tcPr>
          <w:p w14:paraId="0AFA458B">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sz w:val="24"/>
                <w:szCs w:val="24"/>
              </w:rPr>
              <w:t>省委教育办秘书处</w:t>
            </w:r>
          </w:p>
        </w:tc>
      </w:tr>
      <w:tr w14:paraId="32DA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3182D18">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w:t>
            </w:r>
          </w:p>
        </w:tc>
        <w:tc>
          <w:tcPr>
            <w:tcW w:w="2440" w:type="dxa"/>
            <w:noWrap w:val="0"/>
            <w:vAlign w:val="center"/>
          </w:tcPr>
          <w:p w14:paraId="65B94FE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同行专家评议机制的科学化与规范化研究</w:t>
            </w:r>
          </w:p>
        </w:tc>
        <w:tc>
          <w:tcPr>
            <w:tcW w:w="4454" w:type="dxa"/>
            <w:noWrap w:val="0"/>
            <w:vAlign w:val="center"/>
          </w:tcPr>
          <w:p w14:paraId="3884FD6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发展“十五五”规划》提出，要促进同行专家评议机制更加科学规范。同行专家评议是完善教育评价改革的关键环节。聚焦同行评议机制科学化、规范化建设，对保障评审公平公正，推动教育评价改革落地，具有重要的理论研究意义与实践价值。</w:t>
            </w:r>
          </w:p>
        </w:tc>
        <w:tc>
          <w:tcPr>
            <w:tcW w:w="3944" w:type="dxa"/>
            <w:noWrap w:val="0"/>
            <w:vAlign w:val="center"/>
          </w:tcPr>
          <w:p w14:paraId="6503A0A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深化教育评价改革对同行专家评议的科学水平与规范程度提出了更高的现实要求。系统梳理同行专家评议相关政策与实践现状，剖析同行专家评议中存在的突出问题。厘清同行评议科学化、规范化的核心要素，提出优化路径与配套保障措施，为进一步完善同行专家评议机制提供理论支撑与可操作的实践方案。</w:t>
            </w:r>
          </w:p>
        </w:tc>
        <w:tc>
          <w:tcPr>
            <w:tcW w:w="1499" w:type="dxa"/>
            <w:vMerge w:val="continue"/>
            <w:noWrap w:val="0"/>
            <w:vAlign w:val="center"/>
          </w:tcPr>
          <w:p w14:paraId="7EFB8DB1">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9F88832">
            <w:pPr>
              <w:autoSpaceDE/>
              <w:autoSpaceDN/>
              <w:spacing w:line="0" w:lineRule="atLeast"/>
              <w:jc w:val="center"/>
              <w:rPr>
                <w:rFonts w:hint="eastAsia" w:ascii="仿宋_GB2312" w:hAnsi="仿宋_GB2312" w:eastAsia="仿宋_GB2312" w:cs="仿宋_GB2312"/>
                <w:kern w:val="2"/>
                <w:sz w:val="24"/>
                <w:szCs w:val="24"/>
                <w:lang w:eastAsia="zh-CN"/>
              </w:rPr>
            </w:pPr>
          </w:p>
        </w:tc>
      </w:tr>
      <w:tr w14:paraId="116D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7D51054E">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w:t>
            </w:r>
          </w:p>
        </w:tc>
        <w:tc>
          <w:tcPr>
            <w:tcW w:w="2440" w:type="dxa"/>
            <w:noWrap w:val="0"/>
            <w:vAlign w:val="center"/>
          </w:tcPr>
          <w:p w14:paraId="0B5CEFB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数智技术赋能教育评价改革的基层负担效应及其优化研究</w:t>
            </w:r>
          </w:p>
        </w:tc>
        <w:tc>
          <w:tcPr>
            <w:tcW w:w="4454" w:type="dxa"/>
            <w:noWrap w:val="0"/>
            <w:vAlign w:val="center"/>
          </w:tcPr>
          <w:p w14:paraId="04B37A9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新一代数字技术在教育领域的应用，为破解教育评价难题提供新路径。立足深化教育评价改革，发挥数智技术优势推动教育评价理念与方式迭代升级，对切实减轻基层负担，推动教育高质量发展具有重要理论与现实意义。</w:t>
            </w:r>
          </w:p>
        </w:tc>
        <w:tc>
          <w:tcPr>
            <w:tcW w:w="3944" w:type="dxa"/>
            <w:noWrap w:val="0"/>
            <w:vAlign w:val="center"/>
          </w:tcPr>
          <w:p w14:paraId="776AE3F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立足教育数字化转型与深化教育评价改革要求，梳理数智技术应用于教育评价的实践现状。探索运用人工智能、大数据等技术搭建智能评价场景，构建教育评价新模式，形成数智技术赋能教育评价改革切实减轻基层负担的实施路径，为推动基层教育高质量发展提供理论参考与实践方案。</w:t>
            </w:r>
          </w:p>
        </w:tc>
        <w:tc>
          <w:tcPr>
            <w:tcW w:w="1499" w:type="dxa"/>
            <w:vMerge w:val="continue"/>
            <w:noWrap w:val="0"/>
            <w:vAlign w:val="center"/>
          </w:tcPr>
          <w:p w14:paraId="1DAE8FD7">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7A21215">
            <w:pPr>
              <w:autoSpaceDE/>
              <w:autoSpaceDN/>
              <w:spacing w:line="0" w:lineRule="atLeast"/>
              <w:jc w:val="center"/>
              <w:rPr>
                <w:rFonts w:hint="eastAsia" w:ascii="仿宋_GB2312" w:hAnsi="仿宋_GB2312" w:eastAsia="仿宋_GB2312" w:cs="仿宋_GB2312"/>
                <w:kern w:val="2"/>
                <w:sz w:val="24"/>
                <w:szCs w:val="24"/>
                <w:lang w:eastAsia="zh-CN"/>
              </w:rPr>
            </w:pPr>
          </w:p>
        </w:tc>
      </w:tr>
      <w:tr w14:paraId="3824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DEE41F0">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4</w:t>
            </w:r>
          </w:p>
        </w:tc>
        <w:tc>
          <w:tcPr>
            <w:tcW w:w="2440" w:type="dxa"/>
            <w:noWrap w:val="0"/>
            <w:vAlign w:val="center"/>
          </w:tcPr>
          <w:p w14:paraId="45520BE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数字中文建设模式助力科技创新研究</w:t>
            </w:r>
          </w:p>
        </w:tc>
        <w:tc>
          <w:tcPr>
            <w:tcW w:w="4454" w:type="dxa"/>
            <w:noWrap w:val="0"/>
            <w:vAlign w:val="center"/>
          </w:tcPr>
          <w:p w14:paraId="2A2520C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落实教育强国建设综合改革试点，推动中文数字化、数据中文化，服务科技创新、教育数字化和语言资源建设，助力教育强省建设。</w:t>
            </w:r>
          </w:p>
        </w:tc>
        <w:tc>
          <w:tcPr>
            <w:tcW w:w="3944" w:type="dxa"/>
            <w:noWrap w:val="0"/>
            <w:vAlign w:val="center"/>
          </w:tcPr>
          <w:p w14:paraId="27F5164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1.</w:t>
            </w:r>
            <w:r>
              <w:rPr>
                <w:rFonts w:hint="eastAsia" w:ascii="仿宋_GB2312" w:hAnsi="仿宋_GB2312" w:eastAsia="仿宋_GB2312" w:cs="仿宋_GB2312"/>
                <w:kern w:val="2"/>
                <w:sz w:val="24"/>
                <w:szCs w:val="24"/>
                <w:lang w:eastAsia="zh-CN"/>
              </w:rPr>
              <w:t>研究数字中文助力科技创新的体系框架与推进机制；</w:t>
            </w:r>
          </w:p>
          <w:p w14:paraId="1992ED2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2.</w:t>
            </w:r>
            <w:r>
              <w:rPr>
                <w:rFonts w:hint="eastAsia" w:ascii="仿宋_GB2312" w:hAnsi="仿宋_GB2312" w:eastAsia="仿宋_GB2312" w:cs="仿宋_GB2312"/>
                <w:kern w:val="2"/>
                <w:sz w:val="24"/>
                <w:szCs w:val="24"/>
                <w:lang w:eastAsia="zh-CN"/>
              </w:rPr>
              <w:t>建设数字中文服务平台、粤语语料库和垂直领域大模型；</w:t>
            </w:r>
          </w:p>
          <w:p w14:paraId="0271E75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3.</w:t>
            </w:r>
            <w:r>
              <w:rPr>
                <w:rFonts w:hint="eastAsia" w:ascii="仿宋_GB2312" w:hAnsi="仿宋_GB2312" w:eastAsia="仿宋_GB2312" w:cs="仿宋_GB2312"/>
                <w:kern w:val="2"/>
                <w:sz w:val="24"/>
                <w:szCs w:val="24"/>
                <w:lang w:eastAsia="zh-CN"/>
              </w:rPr>
              <w:t>构建产学研协同联盟、安全护栏与标准规范。</w:t>
            </w:r>
          </w:p>
        </w:tc>
        <w:tc>
          <w:tcPr>
            <w:tcW w:w="1499" w:type="dxa"/>
            <w:vMerge w:val="restart"/>
            <w:noWrap w:val="0"/>
            <w:vAlign w:val="center"/>
          </w:tcPr>
          <w:p w14:paraId="6ED1B451">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020-37628293</w:t>
            </w:r>
          </w:p>
        </w:tc>
        <w:tc>
          <w:tcPr>
            <w:tcW w:w="1477" w:type="dxa"/>
            <w:vMerge w:val="restart"/>
            <w:noWrap w:val="0"/>
            <w:vAlign w:val="center"/>
          </w:tcPr>
          <w:p w14:paraId="4AAD87B7">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办公室（省语委办）</w:t>
            </w:r>
          </w:p>
        </w:tc>
      </w:tr>
      <w:tr w14:paraId="2DFC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140316E">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5</w:t>
            </w:r>
          </w:p>
        </w:tc>
        <w:tc>
          <w:tcPr>
            <w:tcW w:w="2440" w:type="dxa"/>
            <w:noWrap w:val="0"/>
            <w:vAlign w:val="center"/>
          </w:tcPr>
          <w:p w14:paraId="46220D7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国家通用语言文字普及攻坚与港澳台青少年语言文化交流机制研究</w:t>
            </w:r>
          </w:p>
        </w:tc>
        <w:tc>
          <w:tcPr>
            <w:tcW w:w="4454" w:type="dxa"/>
            <w:noWrap w:val="0"/>
            <w:vAlign w:val="center"/>
          </w:tcPr>
          <w:p w14:paraId="3769DEA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落实教育强国建设综合改革试点，加强港澳台青少年语言文化交流，提升国家通用语言文字普及质量，促进文化认同，铸牢中华民族共同体意识。</w:t>
            </w:r>
          </w:p>
        </w:tc>
        <w:tc>
          <w:tcPr>
            <w:tcW w:w="3944" w:type="dxa"/>
            <w:noWrap w:val="0"/>
            <w:vAlign w:val="center"/>
          </w:tcPr>
          <w:p w14:paraId="00499EB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1.</w:t>
            </w:r>
            <w:r>
              <w:rPr>
                <w:rFonts w:hint="eastAsia" w:ascii="仿宋_GB2312" w:hAnsi="仿宋_GB2312" w:eastAsia="仿宋_GB2312" w:cs="仿宋_GB2312"/>
                <w:kern w:val="2"/>
                <w:sz w:val="24"/>
                <w:szCs w:val="24"/>
                <w:lang w:eastAsia="zh-CN"/>
              </w:rPr>
              <w:t>研究多部门统筹、三地沟通和“政府主导、高校支撑、社会参与”协同机制；</w:t>
            </w:r>
          </w:p>
          <w:p w14:paraId="2B8C938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2.</w:t>
            </w:r>
            <w:r>
              <w:rPr>
                <w:rFonts w:hint="eastAsia" w:ascii="仿宋_GB2312" w:hAnsi="仿宋_GB2312" w:eastAsia="仿宋_GB2312" w:cs="仿宋_GB2312"/>
                <w:kern w:val="2"/>
                <w:sz w:val="24"/>
                <w:szCs w:val="24"/>
                <w:lang w:eastAsia="zh-CN"/>
              </w:rPr>
              <w:t>构建线上线下交流平台、姊妹学校、师资研修和普通话测试服务；</w:t>
            </w:r>
          </w:p>
          <w:p w14:paraId="2928EC4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3.</w:t>
            </w:r>
            <w:r>
              <w:rPr>
                <w:rFonts w:hint="eastAsia" w:ascii="仿宋_GB2312" w:hAnsi="仿宋_GB2312" w:eastAsia="仿宋_GB2312" w:cs="仿宋_GB2312"/>
                <w:kern w:val="2"/>
                <w:sz w:val="24"/>
                <w:szCs w:val="24"/>
                <w:lang w:eastAsia="zh-CN"/>
              </w:rPr>
              <w:t>实施经典诵读、研学、Vlog、非遗传播等品牌行动；</w:t>
            </w:r>
          </w:p>
          <w:p w14:paraId="1B765C7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4.</w:t>
            </w:r>
            <w:r>
              <w:rPr>
                <w:rFonts w:hint="eastAsia" w:ascii="仿宋_GB2312" w:hAnsi="仿宋_GB2312" w:eastAsia="仿宋_GB2312" w:cs="仿宋_GB2312"/>
                <w:kern w:val="2"/>
                <w:sz w:val="24"/>
                <w:szCs w:val="24"/>
                <w:lang w:eastAsia="zh-CN"/>
              </w:rPr>
              <w:t>形成实施方案、资源平台与评估机制。</w:t>
            </w:r>
          </w:p>
        </w:tc>
        <w:tc>
          <w:tcPr>
            <w:tcW w:w="1499" w:type="dxa"/>
            <w:vMerge w:val="continue"/>
            <w:noWrap w:val="0"/>
            <w:vAlign w:val="center"/>
          </w:tcPr>
          <w:p w14:paraId="786D2559">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662F8BB8">
            <w:pPr>
              <w:autoSpaceDE/>
              <w:autoSpaceDN/>
              <w:spacing w:line="0" w:lineRule="atLeast"/>
              <w:jc w:val="center"/>
              <w:rPr>
                <w:rFonts w:hint="eastAsia" w:ascii="仿宋_GB2312" w:hAnsi="仿宋_GB2312" w:eastAsia="仿宋_GB2312" w:cs="仿宋_GB2312"/>
                <w:kern w:val="2"/>
                <w:sz w:val="24"/>
                <w:szCs w:val="24"/>
                <w:lang w:eastAsia="zh-CN"/>
              </w:rPr>
            </w:pPr>
          </w:p>
        </w:tc>
      </w:tr>
      <w:tr w14:paraId="0CF3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7037BC22">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6</w:t>
            </w:r>
          </w:p>
        </w:tc>
        <w:tc>
          <w:tcPr>
            <w:tcW w:w="2440" w:type="dxa"/>
            <w:noWrap w:val="0"/>
            <w:vAlign w:val="center"/>
          </w:tcPr>
          <w:p w14:paraId="2401407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新时代高校保密工作规范化标准体系研究</w:t>
            </w:r>
          </w:p>
        </w:tc>
        <w:tc>
          <w:tcPr>
            <w:tcW w:w="4454" w:type="dxa"/>
            <w:noWrap w:val="0"/>
            <w:vAlign w:val="center"/>
          </w:tcPr>
          <w:p w14:paraId="72A40DA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高校是科学研究的重要力量，同时承担大量涉及重大国防军工科研项目、尖端技术以及国家重要政策研究任务。但高校具有人员流动性较强、涉密场所和设备分散、对外交流较频繁等特点，保密管理难度大，特别是不同高校保密管理水平参差不齐，迫切需要建立一套高校保密管理规范化的标准体系，来指导高校切实提升保密管理水平，增强保密防范能力。</w:t>
            </w:r>
          </w:p>
        </w:tc>
        <w:tc>
          <w:tcPr>
            <w:tcW w:w="3944" w:type="dxa"/>
            <w:noWrap w:val="0"/>
            <w:vAlign w:val="center"/>
          </w:tcPr>
          <w:p w14:paraId="4F1AA7B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1.调研分析当前高校保密管理存在的短板弱项。针对不同类型的高校，通过采用现场座谈调研和问卷调查相结合的方式，全面梳理掌握新时代高校保密管理的痛点难点和堵点；</w:t>
            </w:r>
          </w:p>
          <w:p w14:paraId="38D3609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2.结合新修订的保密法律法规，从保密工作体系、保密日常管理、保密技术防范、保密场所建设等方面制定规范化管理的标准体系指标；</w:t>
            </w:r>
          </w:p>
          <w:p w14:paraId="1D6088C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3.选取若干高校作为试点，对规范化管理的标准体系指标进行示范验证，进一步完善标准体系指标；</w:t>
            </w:r>
          </w:p>
          <w:p w14:paraId="6F08735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4.力争形成广东省高校保密管理规范化标准，在全省乃至全国高校进行推广。</w:t>
            </w:r>
          </w:p>
        </w:tc>
        <w:tc>
          <w:tcPr>
            <w:tcW w:w="1499" w:type="dxa"/>
            <w:vMerge w:val="restart"/>
            <w:noWrap w:val="0"/>
            <w:vAlign w:val="center"/>
          </w:tcPr>
          <w:p w14:paraId="69E3284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020-37626951</w:t>
            </w:r>
          </w:p>
        </w:tc>
        <w:tc>
          <w:tcPr>
            <w:tcW w:w="1477" w:type="dxa"/>
            <w:vMerge w:val="continue"/>
            <w:noWrap w:val="0"/>
            <w:vAlign w:val="center"/>
          </w:tcPr>
          <w:p w14:paraId="1202567E">
            <w:pPr>
              <w:autoSpaceDE/>
              <w:autoSpaceDN/>
              <w:spacing w:line="0" w:lineRule="atLeast"/>
              <w:jc w:val="center"/>
              <w:rPr>
                <w:rFonts w:hint="eastAsia" w:ascii="仿宋_GB2312" w:hAnsi="仿宋_GB2312" w:eastAsia="仿宋_GB2312" w:cs="仿宋_GB2312"/>
                <w:kern w:val="2"/>
                <w:sz w:val="24"/>
                <w:szCs w:val="24"/>
                <w:lang w:eastAsia="zh-CN"/>
              </w:rPr>
            </w:pPr>
          </w:p>
        </w:tc>
      </w:tr>
      <w:tr w14:paraId="713C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51B61AC">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7</w:t>
            </w:r>
          </w:p>
        </w:tc>
        <w:tc>
          <w:tcPr>
            <w:tcW w:w="2440" w:type="dxa"/>
            <w:noWrap w:val="0"/>
            <w:vAlign w:val="center"/>
          </w:tcPr>
          <w:p w14:paraId="1C2C8DE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从工具嵌入到组织重塑：AI原生驱动教育治理转型的机制研究与实践路径</w:t>
            </w:r>
          </w:p>
        </w:tc>
        <w:tc>
          <w:tcPr>
            <w:tcW w:w="4454" w:type="dxa"/>
            <w:noWrap w:val="0"/>
            <w:vAlign w:val="center"/>
          </w:tcPr>
          <w:p w14:paraId="168194E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人工智能对教育治理的影响正从工具层转型升级至组织层。当前实践多停留于单点提效，组织形态尚未同步演进，技术速度与组织准备有待形成张力。办文作为行政组织的信息血液，其全链条智能化将改变组织信息流动方式。研究以广东教育政务AI办文实践为切口，探索从工具嵌入到组织重塑的AI原生演进路径，为教育治理体系改革提供实证支撑。</w:t>
            </w:r>
          </w:p>
        </w:tc>
        <w:tc>
          <w:tcPr>
            <w:tcW w:w="3944" w:type="dxa"/>
            <w:noWrap w:val="0"/>
            <w:vAlign w:val="center"/>
          </w:tcPr>
          <w:p w14:paraId="0A3BABA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重点围绕AI“优化既有工作流”与“围绕智能体重构工作流”两种路径的效能差异，以广东教育政务AI摘要、拟办、校审、排版、拟稿等办文智能化实践为实证基础，研究以下问题：</w:t>
            </w:r>
          </w:p>
          <w:p w14:paraId="777304A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1.组织信息流动结构因办文智能化而发生的改变机制；</w:t>
            </w:r>
          </w:p>
          <w:p w14:paraId="30A1EA8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2.岗位边界、协作方式与决策路由随之发生何种重构；</w:t>
            </w:r>
          </w:p>
          <w:p w14:paraId="464BFD7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3.组织形态演进的阶段特征、临界条件与现实阻力。最终形成阶段模型、可印发的工作方案建议及风险清单，提出教育治理AI原生转型的阶段性路径。</w:t>
            </w:r>
          </w:p>
        </w:tc>
        <w:tc>
          <w:tcPr>
            <w:tcW w:w="1499" w:type="dxa"/>
            <w:vMerge w:val="continue"/>
            <w:noWrap w:val="0"/>
            <w:vAlign w:val="center"/>
          </w:tcPr>
          <w:p w14:paraId="0A085703">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3217C7C">
            <w:pPr>
              <w:autoSpaceDE/>
              <w:autoSpaceDN/>
              <w:spacing w:line="0" w:lineRule="atLeast"/>
              <w:jc w:val="center"/>
              <w:rPr>
                <w:rFonts w:hint="eastAsia" w:ascii="仿宋_GB2312" w:hAnsi="仿宋_GB2312" w:eastAsia="仿宋_GB2312" w:cs="仿宋_GB2312"/>
                <w:kern w:val="2"/>
                <w:sz w:val="24"/>
                <w:szCs w:val="24"/>
                <w:lang w:eastAsia="zh-CN"/>
              </w:rPr>
            </w:pPr>
          </w:p>
        </w:tc>
      </w:tr>
      <w:tr w14:paraId="2745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FE56063">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8</w:t>
            </w:r>
          </w:p>
        </w:tc>
        <w:tc>
          <w:tcPr>
            <w:tcW w:w="2440" w:type="dxa"/>
            <w:noWrap w:val="0"/>
            <w:vAlign w:val="center"/>
          </w:tcPr>
          <w:p w14:paraId="0934D21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教育信访数据驱动校园安全风险研判与监测预警机制研究</w:t>
            </w:r>
          </w:p>
        </w:tc>
        <w:tc>
          <w:tcPr>
            <w:tcW w:w="4454" w:type="dxa"/>
            <w:noWrap w:val="0"/>
            <w:vAlign w:val="center"/>
          </w:tcPr>
          <w:p w14:paraId="4EE293C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服务教育强省建设与教育安全守护工程，针对校园安全重点领域风险发现滞后问题，探索将教育信访数据转化为省级风险研判与监测预警的信息来源，为全省教育系统由“事后处置”向“事前防范”转型提供决策支撑，助力各级各类学校精准防范安全风险。</w:t>
            </w:r>
          </w:p>
        </w:tc>
        <w:tc>
          <w:tcPr>
            <w:tcW w:w="3944" w:type="dxa"/>
            <w:noWrap w:val="0"/>
            <w:vAlign w:val="center"/>
          </w:tcPr>
          <w:p w14:paraId="7F2905F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1.</w:t>
            </w:r>
            <w:r>
              <w:rPr>
                <w:rFonts w:hint="eastAsia" w:ascii="仿宋_GB2312" w:hAnsi="仿宋_GB2312" w:eastAsia="仿宋_GB2312" w:cs="仿宋_GB2312"/>
                <w:kern w:val="2"/>
                <w:sz w:val="24"/>
                <w:szCs w:val="24"/>
                <w:lang w:eastAsia="zh-CN"/>
              </w:rPr>
              <w:t>构建教育信访数据归类提取标准与方法，围绕诉求类型、问题领域、风险等级等维度实现科学归类与结构化提取；</w:t>
            </w:r>
          </w:p>
          <w:p w14:paraId="6A77987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2.</w:t>
            </w:r>
            <w:r>
              <w:rPr>
                <w:rFonts w:hint="eastAsia" w:ascii="仿宋_GB2312" w:hAnsi="仿宋_GB2312" w:eastAsia="仿宋_GB2312" w:cs="仿宋_GB2312"/>
                <w:kern w:val="2"/>
                <w:sz w:val="24"/>
                <w:szCs w:val="24"/>
                <w:lang w:eastAsia="zh-CN"/>
              </w:rPr>
              <w:t>建立风险研判评估与监测预警模型，深入分析高频事项和异常波动，识别苗头性、倾向性风险；</w:t>
            </w:r>
          </w:p>
          <w:p w14:paraId="1F40255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3.研究预警信息向学校、地市精准传导和应急处置联动机制，推动风险防控关口前移。</w:t>
            </w:r>
          </w:p>
        </w:tc>
        <w:tc>
          <w:tcPr>
            <w:tcW w:w="1499" w:type="dxa"/>
            <w:noWrap w:val="0"/>
            <w:vAlign w:val="center"/>
          </w:tcPr>
          <w:p w14:paraId="76AA8F1C">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020-37627997</w:t>
            </w:r>
          </w:p>
        </w:tc>
        <w:tc>
          <w:tcPr>
            <w:tcW w:w="1477" w:type="dxa"/>
            <w:vMerge w:val="continue"/>
            <w:noWrap w:val="0"/>
            <w:vAlign w:val="center"/>
          </w:tcPr>
          <w:p w14:paraId="7FB07BE8">
            <w:pPr>
              <w:autoSpaceDE/>
              <w:autoSpaceDN/>
              <w:spacing w:line="0" w:lineRule="atLeast"/>
              <w:jc w:val="center"/>
              <w:rPr>
                <w:rFonts w:hint="eastAsia" w:ascii="仿宋_GB2312" w:hAnsi="仿宋_GB2312" w:eastAsia="仿宋_GB2312" w:cs="仿宋_GB2312"/>
                <w:kern w:val="2"/>
                <w:sz w:val="24"/>
                <w:szCs w:val="24"/>
                <w:lang w:eastAsia="zh-CN"/>
              </w:rPr>
            </w:pPr>
          </w:p>
        </w:tc>
      </w:tr>
      <w:tr w14:paraId="5C2A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965A08A">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9</w:t>
            </w:r>
          </w:p>
        </w:tc>
        <w:tc>
          <w:tcPr>
            <w:tcW w:w="2440" w:type="dxa"/>
            <w:noWrap w:val="0"/>
            <w:vAlign w:val="center"/>
          </w:tcPr>
          <w:p w14:paraId="2B7F734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“十四五”期间广东省教育经费投入状况发展研究</w:t>
            </w:r>
          </w:p>
        </w:tc>
        <w:tc>
          <w:tcPr>
            <w:tcW w:w="4454" w:type="dxa"/>
            <w:noWrap w:val="0"/>
            <w:vAlign w:val="center"/>
          </w:tcPr>
          <w:p w14:paraId="62F72FE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通过系统分析“十四五”期间广东省教育经费投入规模、结构及区域差异情况，旨在为优化教育资源配置、提升经费使用效率提供决策依据和政策建议，对促进广东教育高质量发展具有重要现实意义。</w:t>
            </w:r>
          </w:p>
        </w:tc>
        <w:tc>
          <w:tcPr>
            <w:tcW w:w="3944" w:type="dxa"/>
            <w:noWrap w:val="0"/>
            <w:vAlign w:val="center"/>
          </w:tcPr>
          <w:p w14:paraId="7507C70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1.基于省、市、县不同</w:t>
            </w:r>
            <w:r>
              <w:rPr>
                <w:rFonts w:hint="eastAsia" w:ascii="仿宋_GB2312" w:hAnsi="仿宋_GB2312" w:eastAsia="仿宋_GB2312" w:cs="仿宋_GB2312"/>
                <w:kern w:val="2"/>
                <w:sz w:val="24"/>
                <w:szCs w:val="24"/>
                <w:lang w:val="en-US" w:eastAsia="zh-CN"/>
              </w:rPr>
              <w:t>维度</w:t>
            </w:r>
            <w:r>
              <w:rPr>
                <w:rFonts w:hint="eastAsia" w:ascii="仿宋_GB2312" w:hAnsi="仿宋_GB2312" w:eastAsia="仿宋_GB2312" w:cs="仿宋_GB2312"/>
                <w:kern w:val="2"/>
                <w:sz w:val="24"/>
                <w:szCs w:val="24"/>
                <w:lang w:eastAsia="zh-CN"/>
              </w:rPr>
              <w:t>分析“十四五”期间广东省教育经费投入情况；</w:t>
            </w:r>
          </w:p>
          <w:p w14:paraId="6ADCA59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2.构建教育财政可持续发展水平评价指标，测算“十四五”期间广东省教育财政可持续发展水平及其变化趋势；</w:t>
            </w:r>
          </w:p>
          <w:p w14:paraId="7A168E1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3.基于量化分析结果，提出优化广东省教育经费保障机制和提升教育财政可持续发展能力的政策建议。</w:t>
            </w:r>
          </w:p>
        </w:tc>
        <w:tc>
          <w:tcPr>
            <w:tcW w:w="1499" w:type="dxa"/>
            <w:noWrap w:val="0"/>
            <w:vAlign w:val="center"/>
          </w:tcPr>
          <w:p w14:paraId="65E25016">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020-87774855</w:t>
            </w:r>
          </w:p>
        </w:tc>
        <w:tc>
          <w:tcPr>
            <w:tcW w:w="1477" w:type="dxa"/>
            <w:noWrap w:val="0"/>
            <w:vAlign w:val="center"/>
          </w:tcPr>
          <w:p w14:paraId="2089C70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sz w:val="24"/>
                <w:szCs w:val="24"/>
                <w:lang w:eastAsia="zh-CN"/>
              </w:rPr>
              <w:t>基建财务处（学生助学工作管理办公室）</w:t>
            </w:r>
          </w:p>
        </w:tc>
      </w:tr>
      <w:tr w14:paraId="22CB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1D628BB">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10</w:t>
            </w:r>
          </w:p>
        </w:tc>
        <w:tc>
          <w:tcPr>
            <w:tcW w:w="2440" w:type="dxa"/>
            <w:noWrap w:val="0"/>
            <w:vAlign w:val="center"/>
          </w:tcPr>
          <w:p w14:paraId="635025B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人工智能赋能视障生个性化学习研究</w:t>
            </w:r>
          </w:p>
        </w:tc>
        <w:tc>
          <w:tcPr>
            <w:tcW w:w="4454" w:type="dxa"/>
            <w:noWrap w:val="0"/>
            <w:vAlign w:val="center"/>
          </w:tcPr>
          <w:p w14:paraId="5D2D484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传统班级授课难以满足视障生个性化学习需求。利用人工智能协助识别学习特征、适配学习资源、提供智能导学支持，为视障生提供适切的学习体验，对提升特殊教育质量、推进教育公平与教育数字化改革具有重要意义。</w:t>
            </w:r>
          </w:p>
        </w:tc>
        <w:tc>
          <w:tcPr>
            <w:tcW w:w="3944" w:type="dxa"/>
            <w:noWrap w:val="0"/>
            <w:vAlign w:val="center"/>
          </w:tcPr>
          <w:p w14:paraId="3A80C91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1.调研广东省视障生学习现状与分析个性化学习的现实需求；</w:t>
            </w:r>
          </w:p>
          <w:p w14:paraId="1CC7C0F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2.针对需求研究学习特征识别技术，构建个性化学习模型；</w:t>
            </w:r>
          </w:p>
          <w:p w14:paraId="4D18AE7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3.在学习模型基础上，研发智能资源适配与推荐机制；</w:t>
            </w:r>
          </w:p>
          <w:p w14:paraId="075FC54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4.探索AI赋能的智能导学与多模态交互方式，构建个性化学习支持系统；</w:t>
            </w:r>
          </w:p>
          <w:p w14:paraId="55C041B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5.选取试点班级开展应用验证，评估学习成效，迭代优化后形成可推广的“广东经验”。</w:t>
            </w:r>
          </w:p>
        </w:tc>
        <w:tc>
          <w:tcPr>
            <w:tcW w:w="1499" w:type="dxa"/>
            <w:noWrap w:val="0"/>
            <w:vAlign w:val="center"/>
          </w:tcPr>
          <w:p w14:paraId="0CC40CAD">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020-37626729</w:t>
            </w:r>
          </w:p>
        </w:tc>
        <w:tc>
          <w:tcPr>
            <w:tcW w:w="1477" w:type="dxa"/>
            <w:vMerge w:val="restart"/>
            <w:noWrap w:val="0"/>
            <w:vAlign w:val="center"/>
          </w:tcPr>
          <w:p w14:paraId="40E35737">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sz w:val="24"/>
                <w:szCs w:val="24"/>
                <w:lang w:eastAsia="zh-CN"/>
              </w:rPr>
              <w:t>基础教育与信息化处（教材管理办公室）</w:t>
            </w:r>
          </w:p>
        </w:tc>
      </w:tr>
      <w:tr w14:paraId="4BDB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7B7116C">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11</w:t>
            </w:r>
          </w:p>
        </w:tc>
        <w:tc>
          <w:tcPr>
            <w:tcW w:w="2440" w:type="dxa"/>
            <w:noWrap w:val="0"/>
            <w:vAlign w:val="center"/>
          </w:tcPr>
          <w:p w14:paraId="2698B4E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中考评价政策研究</w:t>
            </w:r>
          </w:p>
        </w:tc>
        <w:tc>
          <w:tcPr>
            <w:tcW w:w="4454" w:type="dxa"/>
            <w:noWrap w:val="0"/>
            <w:vAlign w:val="center"/>
          </w:tcPr>
          <w:p w14:paraId="1E3E874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中考上接高考改革、下连义务教育，是基础教育阶段社会关注度最高、影响面最广的考试，其评价政策直接决定学科地位与教学走向。开展中考评价政策研究，摸清底数、研判趋势、提出底线，对于稳定学科地位、深化评价改革、维护教育公平具有重要的现实意义。</w:t>
            </w:r>
          </w:p>
        </w:tc>
        <w:tc>
          <w:tcPr>
            <w:tcW w:w="3944" w:type="dxa"/>
            <w:noWrap w:val="0"/>
            <w:vAlign w:val="center"/>
          </w:tcPr>
          <w:p w14:paraId="764237C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1.系统梳理全国各地及全省21个地市中考政策情况并做多维度分析对比，形成报告。</w:t>
            </w:r>
          </w:p>
          <w:p w14:paraId="5CBBB8B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2.在此基础上编制《广东省中考评价指南》，构建广东省中考评价体系。</w:t>
            </w:r>
          </w:p>
        </w:tc>
        <w:tc>
          <w:tcPr>
            <w:tcW w:w="1499" w:type="dxa"/>
            <w:noWrap w:val="0"/>
            <w:vAlign w:val="center"/>
          </w:tcPr>
          <w:p w14:paraId="15FF30D1">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020-37626346</w:t>
            </w:r>
          </w:p>
        </w:tc>
        <w:tc>
          <w:tcPr>
            <w:tcW w:w="1477" w:type="dxa"/>
            <w:vMerge w:val="continue"/>
            <w:noWrap w:val="0"/>
            <w:vAlign w:val="center"/>
          </w:tcPr>
          <w:p w14:paraId="000C3B29">
            <w:pPr>
              <w:autoSpaceDE/>
              <w:autoSpaceDN/>
              <w:spacing w:line="0" w:lineRule="atLeast"/>
              <w:jc w:val="center"/>
              <w:rPr>
                <w:rFonts w:hint="eastAsia" w:ascii="仿宋_GB2312" w:hAnsi="仿宋_GB2312" w:eastAsia="仿宋_GB2312" w:cs="仿宋_GB2312"/>
                <w:kern w:val="2"/>
                <w:sz w:val="24"/>
                <w:szCs w:val="24"/>
                <w:lang w:eastAsia="zh-CN"/>
              </w:rPr>
            </w:pPr>
          </w:p>
        </w:tc>
      </w:tr>
      <w:tr w14:paraId="7739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75E83FE">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12</w:t>
            </w:r>
          </w:p>
        </w:tc>
        <w:tc>
          <w:tcPr>
            <w:tcW w:w="2440" w:type="dxa"/>
            <w:noWrap w:val="0"/>
            <w:vAlign w:val="center"/>
          </w:tcPr>
          <w:p w14:paraId="77DF4BC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城乡教育共同体建设推动广东基础教育高质量发展的实践路径研究</w:t>
            </w:r>
          </w:p>
        </w:tc>
        <w:tc>
          <w:tcPr>
            <w:tcW w:w="4454" w:type="dxa"/>
            <w:noWrap w:val="0"/>
            <w:vAlign w:val="center"/>
          </w:tcPr>
          <w:p w14:paraId="6AAA23D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国家《教育发展“十五五”规划》提出“深化集团化办学和城乡学校共同体建设”，广东省“百千万工程”教育行动方案将“创建城乡教育共同体”作为主要任务之一。通过探索，提炼可复制实践路径，为推进广东基础教育高质量发展提供决策参考。</w:t>
            </w:r>
          </w:p>
        </w:tc>
        <w:tc>
          <w:tcPr>
            <w:tcW w:w="3944" w:type="dxa"/>
            <w:noWrap w:val="0"/>
            <w:vAlign w:val="center"/>
          </w:tcPr>
          <w:p w14:paraId="4A4C4F2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调研省内外不同地区城乡教育共同体改革现状，分析运行机制、资源配置、激励保障方面现实问题，研究统筹规划以及共同体内部的管理协调、资源共享、教育教学等机制，探索以城带乡、以强带弱、推动城乡一体化均衡发展的实践模式，形成可供各地学习借鉴的对策建议，为缩小城乡教育差距、推进广东基础教育高质量发展提供决策参考。</w:t>
            </w:r>
          </w:p>
        </w:tc>
        <w:tc>
          <w:tcPr>
            <w:tcW w:w="1499" w:type="dxa"/>
            <w:noWrap w:val="0"/>
            <w:vAlign w:val="center"/>
          </w:tcPr>
          <w:p w14:paraId="40D68B4C">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020-37629703</w:t>
            </w:r>
          </w:p>
        </w:tc>
        <w:tc>
          <w:tcPr>
            <w:tcW w:w="1477" w:type="dxa"/>
            <w:vMerge w:val="continue"/>
            <w:noWrap w:val="0"/>
            <w:vAlign w:val="center"/>
          </w:tcPr>
          <w:p w14:paraId="1E9609C8">
            <w:pPr>
              <w:autoSpaceDE/>
              <w:autoSpaceDN/>
              <w:spacing w:line="0" w:lineRule="atLeast"/>
              <w:jc w:val="center"/>
              <w:rPr>
                <w:rFonts w:hint="eastAsia" w:ascii="仿宋_GB2312" w:hAnsi="仿宋_GB2312" w:eastAsia="仿宋_GB2312" w:cs="仿宋_GB2312"/>
                <w:kern w:val="2"/>
                <w:sz w:val="24"/>
                <w:szCs w:val="24"/>
                <w:lang w:eastAsia="zh-CN"/>
              </w:rPr>
            </w:pPr>
          </w:p>
        </w:tc>
      </w:tr>
      <w:tr w14:paraId="4BB9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85BDAEE">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13</w:t>
            </w:r>
          </w:p>
        </w:tc>
        <w:tc>
          <w:tcPr>
            <w:tcW w:w="2440" w:type="dxa"/>
            <w:noWrap w:val="0"/>
            <w:vAlign w:val="center"/>
          </w:tcPr>
          <w:p w14:paraId="3DA7654D">
            <w:pPr>
              <w:widowControl/>
              <w:spacing w:line="0" w:lineRule="atLeast"/>
              <w:jc w:val="both"/>
              <w:textAlignment w:val="center"/>
              <w:rPr>
                <w:rFonts w:hint="eastAsia" w:ascii="仿宋_GB2312" w:hAnsi="仿宋_GB2312" w:eastAsia="仿宋_GB2312" w:cs="仿宋_GB2312"/>
                <w:color w:val="000000"/>
                <w:sz w:val="24"/>
                <w:szCs w:val="24"/>
                <w:lang w:val="en-US" w:eastAsia="zh-CN" w:bidi="ar"/>
              </w:rPr>
            </w:pPr>
            <w:r>
              <w:rPr>
                <w:rFonts w:hint="eastAsia" w:ascii="仿宋_GB2312" w:hAnsi="仿宋_GB2312" w:eastAsia="仿宋_GB2312" w:cs="仿宋_GB2312"/>
                <w:color w:val="000000"/>
                <w:sz w:val="24"/>
                <w:szCs w:val="24"/>
                <w:lang w:eastAsia="zh-CN" w:bidi="ar"/>
              </w:rPr>
              <w:t>广东高校人文社科有组织科研评价改革与青年教师专业发展研究</w:t>
            </w:r>
          </w:p>
        </w:tc>
        <w:tc>
          <w:tcPr>
            <w:tcW w:w="4454" w:type="dxa"/>
            <w:noWrap w:val="0"/>
            <w:vAlign w:val="center"/>
          </w:tcPr>
          <w:p w14:paraId="6B3F63F0">
            <w:pPr>
              <w:widowControl/>
              <w:spacing w:line="0" w:lineRule="atLeast"/>
              <w:jc w:val="both"/>
              <w:textAlignment w:val="center"/>
              <w:rPr>
                <w:rFonts w:hint="eastAsia" w:ascii="仿宋_GB2312" w:hAnsi="仿宋_GB2312" w:eastAsia="仿宋_GB2312" w:cs="仿宋_GB2312"/>
                <w:color w:val="000000"/>
                <w:sz w:val="24"/>
                <w:szCs w:val="24"/>
                <w:lang w:val="en-US" w:eastAsia="zh-CN" w:bidi="ar"/>
              </w:rPr>
            </w:pPr>
            <w:r>
              <w:rPr>
                <w:rFonts w:hint="eastAsia" w:ascii="仿宋_GB2312" w:hAnsi="仿宋_GB2312" w:eastAsia="仿宋_GB2312" w:cs="仿宋_GB2312"/>
                <w:color w:val="000000"/>
                <w:sz w:val="24"/>
                <w:szCs w:val="24"/>
                <w:lang w:val="en-US" w:eastAsia="zh-CN" w:bidi="ar"/>
              </w:rPr>
              <w:t>人文社科成果形态多样、价值显现周期长，与量化、短平快的评价标准之间存在张力；在有组织科研情境下，这一矛盾被进一步放大，直接影响青年教师的学术行为选择与专业发展轨迹。本研究考察我省高校有组织科研对青年教师学术成长的影响，旨在为构建符合人文社科规律、有利于青年教师潜心治学的分类评价体系提供实证支撑。</w:t>
            </w:r>
          </w:p>
        </w:tc>
        <w:tc>
          <w:tcPr>
            <w:tcW w:w="3944" w:type="dxa"/>
            <w:noWrap w:val="0"/>
            <w:vAlign w:val="center"/>
          </w:tcPr>
          <w:p w14:paraId="4B3273AC">
            <w:pPr>
              <w:autoSpaceDE/>
              <w:spacing w:line="0" w:lineRule="atLeast"/>
              <w:jc w:val="both"/>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eastAsia="zh-CN" w:bidi="ar"/>
              </w:rPr>
              <w:t>梳理我省高校人文社科有组织科研评价体系的现状与改革进展，剖析评价标准、激励机制</w:t>
            </w:r>
            <w:r>
              <w:rPr>
                <w:rFonts w:hint="eastAsia" w:ascii="仿宋_GB2312" w:hAnsi="仿宋_GB2312" w:eastAsia="仿宋_GB2312" w:cs="仿宋_GB2312"/>
                <w:kern w:val="2"/>
                <w:sz w:val="24"/>
                <w:szCs w:val="24"/>
                <w:lang w:val="en-US" w:eastAsia="zh-CN" w:bidi="ar"/>
              </w:rPr>
              <w:t>等</w:t>
            </w:r>
            <w:r>
              <w:rPr>
                <w:rFonts w:hint="eastAsia" w:ascii="仿宋_GB2312" w:hAnsi="仿宋_GB2312" w:eastAsia="仿宋_GB2312" w:cs="仿宋_GB2312"/>
                <w:kern w:val="2"/>
                <w:sz w:val="24"/>
                <w:szCs w:val="24"/>
                <w:lang w:eastAsia="zh-CN" w:bidi="ar"/>
              </w:rPr>
              <w:t>运行实效；考察青年教师参与感知及其学术行为选择与专业发展所受影响的内在机制；诊断评价改革与组织运行中的突出矛盾与关键堵点，提出符合人文社科规律、有利于青年教师潜心治学的分类评价体系与支持保障对策。</w:t>
            </w:r>
          </w:p>
        </w:tc>
        <w:tc>
          <w:tcPr>
            <w:tcW w:w="1499" w:type="dxa"/>
            <w:vMerge w:val="restart"/>
            <w:noWrap w:val="0"/>
            <w:vAlign w:val="center"/>
          </w:tcPr>
          <w:p w14:paraId="4157C4D0">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020-37629319</w:t>
            </w:r>
          </w:p>
        </w:tc>
        <w:tc>
          <w:tcPr>
            <w:tcW w:w="1477" w:type="dxa"/>
            <w:vMerge w:val="restart"/>
            <w:noWrap w:val="0"/>
            <w:vAlign w:val="center"/>
          </w:tcPr>
          <w:p w14:paraId="285F3EF7">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科研处（省教育科学规划领导小组办公室）</w:t>
            </w:r>
          </w:p>
        </w:tc>
      </w:tr>
      <w:tr w14:paraId="713B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26FD39D">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14</w:t>
            </w:r>
          </w:p>
        </w:tc>
        <w:tc>
          <w:tcPr>
            <w:tcW w:w="2440" w:type="dxa"/>
            <w:noWrap w:val="0"/>
            <w:vAlign w:val="center"/>
          </w:tcPr>
          <w:p w14:paraId="7DC58774">
            <w:pPr>
              <w:numPr>
                <w:ilvl w:val="0"/>
                <w:numId w:val="0"/>
              </w:numPr>
              <w:autoSpaceDE/>
              <w:spacing w:line="0" w:lineRule="atLeast"/>
              <w:jc w:val="center"/>
              <w:rPr>
                <w:rFonts w:hint="default" w:ascii="仿宋_GB2312" w:hAnsi="仿宋_GB2312" w:eastAsia="仿宋_GB2312" w:cs="仿宋_GB2312"/>
                <w:kern w:val="2"/>
                <w:sz w:val="24"/>
                <w:szCs w:val="24"/>
                <w:lang w:eastAsia="zh-CN" w:bidi="ar"/>
              </w:rPr>
            </w:pPr>
            <w:r>
              <w:rPr>
                <w:rFonts w:hint="default" w:ascii="仿宋_GB2312" w:hAnsi="仿宋_GB2312" w:eastAsia="仿宋_GB2312" w:cs="仿宋_GB2312"/>
                <w:kern w:val="2"/>
                <w:sz w:val="24"/>
                <w:szCs w:val="24"/>
                <w:lang w:val="en-US" w:eastAsia="zh-CN" w:bidi="ar"/>
              </w:rPr>
              <w:t>新时代背景下健全高校科研诚信全链条管理机制研究</w:t>
            </w:r>
          </w:p>
          <w:p w14:paraId="195A95AD">
            <w:pPr>
              <w:numPr>
                <w:ilvl w:val="0"/>
                <w:numId w:val="0"/>
              </w:numPr>
              <w:autoSpaceDE/>
              <w:spacing w:line="0" w:lineRule="atLeast"/>
              <w:ind w:left="0" w:leftChars="0" w:firstLine="0" w:firstLineChars="0"/>
              <w:jc w:val="center"/>
              <w:rPr>
                <w:rFonts w:hint="eastAsia" w:ascii="仿宋_GB2312" w:hAnsi="仿宋_GB2312" w:eastAsia="仿宋_GB2312" w:cs="仿宋_GB2312"/>
                <w:kern w:val="2"/>
                <w:sz w:val="24"/>
                <w:szCs w:val="24"/>
                <w:lang w:val="en-US" w:eastAsia="zh-CN" w:bidi="ar"/>
              </w:rPr>
            </w:pPr>
          </w:p>
        </w:tc>
        <w:tc>
          <w:tcPr>
            <w:tcW w:w="4454" w:type="dxa"/>
            <w:noWrap w:val="0"/>
            <w:vAlign w:val="center"/>
          </w:tcPr>
          <w:p w14:paraId="42041639">
            <w:pPr>
              <w:numPr>
                <w:ilvl w:val="0"/>
                <w:numId w:val="0"/>
              </w:numPr>
              <w:autoSpaceDE/>
              <w:spacing w:line="0" w:lineRule="atLeast"/>
              <w:jc w:val="center"/>
              <w:rPr>
                <w:rFonts w:hint="default" w:ascii="仿宋_GB2312" w:hAnsi="仿宋_GB2312" w:eastAsia="仿宋_GB2312" w:cs="仿宋_GB2312"/>
                <w:kern w:val="2"/>
                <w:sz w:val="24"/>
                <w:szCs w:val="24"/>
                <w:lang w:eastAsia="zh-CN" w:bidi="ar"/>
              </w:rPr>
            </w:pPr>
            <w:r>
              <w:rPr>
                <w:rFonts w:hint="default" w:ascii="仿宋_GB2312" w:hAnsi="仿宋_GB2312" w:eastAsia="仿宋_GB2312" w:cs="仿宋_GB2312"/>
                <w:kern w:val="2"/>
                <w:sz w:val="24"/>
                <w:szCs w:val="24"/>
                <w:lang w:val="en-US" w:eastAsia="zh-CN" w:bidi="ar"/>
              </w:rPr>
              <w:t>立足教育科技高质量发展要求，紧扣科研评价改革、学风作风建设现实任务，系统梳理当前</w:t>
            </w:r>
            <w:r>
              <w:rPr>
                <w:rFonts w:hint="eastAsia" w:ascii="仿宋_GB2312" w:hAnsi="仿宋_GB2312" w:eastAsia="仿宋_GB2312" w:cs="仿宋_GB2312"/>
                <w:kern w:val="2"/>
                <w:sz w:val="24"/>
                <w:szCs w:val="24"/>
                <w:lang w:val="en-US" w:eastAsia="zh-CN" w:bidi="ar"/>
              </w:rPr>
              <w:t>我省</w:t>
            </w:r>
            <w:r>
              <w:rPr>
                <w:rFonts w:hint="default" w:ascii="仿宋_GB2312" w:hAnsi="仿宋_GB2312" w:eastAsia="仿宋_GB2312" w:cs="仿宋_GB2312"/>
                <w:kern w:val="2"/>
                <w:sz w:val="24"/>
                <w:szCs w:val="24"/>
                <w:lang w:val="en-US" w:eastAsia="zh-CN" w:bidi="ar"/>
              </w:rPr>
              <w:t>高校科研诚信制度体系短板，厘清科研诚信教育、风险预警、案件核查、惩戒执行、信用修复等环节内在逻辑，</w:t>
            </w:r>
            <w:r>
              <w:rPr>
                <w:rFonts w:hint="eastAsia" w:ascii="仿宋_GB2312" w:hAnsi="仿宋_GB2312" w:eastAsia="仿宋_GB2312" w:cs="仿宋_GB2312"/>
                <w:kern w:val="2"/>
                <w:sz w:val="24"/>
                <w:szCs w:val="24"/>
                <w:lang w:val="en-US" w:eastAsia="zh-CN" w:bidi="ar"/>
              </w:rPr>
              <w:t>健全完善</w:t>
            </w:r>
            <w:r>
              <w:rPr>
                <w:rFonts w:hint="default" w:ascii="仿宋_GB2312" w:hAnsi="仿宋_GB2312" w:eastAsia="仿宋_GB2312" w:cs="仿宋_GB2312"/>
                <w:kern w:val="2"/>
                <w:sz w:val="24"/>
                <w:szCs w:val="24"/>
                <w:lang w:val="en-US" w:eastAsia="zh-CN" w:bidi="ar"/>
              </w:rPr>
              <w:t>新时代高校科研诚信治理</w:t>
            </w:r>
            <w:r>
              <w:rPr>
                <w:rFonts w:hint="eastAsia" w:ascii="仿宋_GB2312" w:hAnsi="仿宋_GB2312" w:eastAsia="仿宋_GB2312" w:cs="仿宋_GB2312"/>
                <w:kern w:val="2"/>
                <w:sz w:val="24"/>
                <w:szCs w:val="24"/>
                <w:lang w:val="en-US" w:eastAsia="zh-CN" w:bidi="ar"/>
              </w:rPr>
              <w:t>机制</w:t>
            </w:r>
            <w:r>
              <w:rPr>
                <w:rFonts w:hint="default" w:ascii="仿宋_GB2312" w:hAnsi="仿宋_GB2312" w:eastAsia="仿宋_GB2312" w:cs="仿宋_GB2312"/>
                <w:kern w:val="2"/>
                <w:sz w:val="24"/>
                <w:szCs w:val="24"/>
                <w:lang w:val="en-US" w:eastAsia="zh-CN" w:bidi="ar"/>
              </w:rPr>
              <w:t>，为科研诚信制度迭代完善提供学理支撑。</w:t>
            </w:r>
          </w:p>
          <w:p w14:paraId="7621ED53">
            <w:pPr>
              <w:numPr>
                <w:ilvl w:val="0"/>
                <w:numId w:val="0"/>
              </w:numPr>
              <w:autoSpaceDE/>
              <w:spacing w:line="0" w:lineRule="atLeast"/>
              <w:ind w:left="0" w:leftChars="0" w:firstLine="0" w:firstLineChars="0"/>
              <w:jc w:val="center"/>
              <w:rPr>
                <w:rFonts w:hint="eastAsia" w:ascii="仿宋_GB2312" w:hAnsi="仿宋_GB2312" w:eastAsia="仿宋_GB2312" w:cs="仿宋_GB2312"/>
                <w:kern w:val="2"/>
                <w:sz w:val="24"/>
                <w:szCs w:val="24"/>
                <w:lang w:val="en-US" w:eastAsia="zh-CN" w:bidi="ar"/>
              </w:rPr>
            </w:pPr>
          </w:p>
        </w:tc>
        <w:tc>
          <w:tcPr>
            <w:tcW w:w="3944" w:type="dxa"/>
            <w:noWrap w:val="0"/>
            <w:vAlign w:val="center"/>
          </w:tcPr>
          <w:p w14:paraId="492BB559">
            <w:pPr>
              <w:numPr>
                <w:ilvl w:val="0"/>
                <w:numId w:val="0"/>
              </w:numPr>
              <w:autoSpaceDE/>
              <w:spacing w:line="0" w:lineRule="atLeast"/>
              <w:jc w:val="left"/>
              <w:rPr>
                <w:rFonts w:hint="default" w:ascii="仿宋_GB2312" w:hAnsi="仿宋_GB2312" w:eastAsia="仿宋_GB2312" w:cs="仿宋_GB2312"/>
                <w:kern w:val="2"/>
                <w:sz w:val="24"/>
                <w:szCs w:val="24"/>
                <w:lang w:eastAsia="zh-CN" w:bidi="ar"/>
              </w:rPr>
            </w:pPr>
            <w:r>
              <w:rPr>
                <w:rFonts w:hint="eastAsia" w:ascii="仿宋_GB2312" w:hAnsi="仿宋_GB2312" w:eastAsia="仿宋_GB2312" w:cs="仿宋_GB2312"/>
                <w:kern w:val="2"/>
                <w:sz w:val="24"/>
                <w:szCs w:val="24"/>
                <w:lang w:eastAsia="zh-CN" w:bidi="ar"/>
              </w:rPr>
              <w:t>全面梳理我省</w:t>
            </w:r>
            <w:r>
              <w:rPr>
                <w:rFonts w:hint="default" w:ascii="仿宋_GB2312" w:hAnsi="仿宋_GB2312" w:eastAsia="仿宋_GB2312" w:cs="仿宋_GB2312"/>
                <w:kern w:val="2"/>
                <w:sz w:val="24"/>
                <w:szCs w:val="24"/>
                <w:lang w:val="en-US" w:eastAsia="zh-CN" w:bidi="ar"/>
              </w:rPr>
              <w:t>高校科研诚信管理现状、风险点与突出问题</w:t>
            </w:r>
            <w:r>
              <w:rPr>
                <w:rFonts w:hint="eastAsia" w:ascii="仿宋_GB2312" w:hAnsi="仿宋_GB2312" w:eastAsia="仿宋_GB2312" w:cs="仿宋_GB2312"/>
                <w:kern w:val="2"/>
                <w:sz w:val="24"/>
                <w:szCs w:val="24"/>
                <w:lang w:val="en-US" w:eastAsia="zh-CN" w:bidi="ar"/>
              </w:rPr>
              <w:t>，对</w:t>
            </w:r>
            <w:r>
              <w:rPr>
                <w:rFonts w:hint="default" w:ascii="仿宋_GB2312" w:hAnsi="仿宋_GB2312" w:eastAsia="仿宋_GB2312" w:cs="仿宋_GB2312"/>
                <w:kern w:val="2"/>
                <w:sz w:val="24"/>
                <w:szCs w:val="24"/>
                <w:lang w:val="en-US" w:eastAsia="zh-CN" w:bidi="ar"/>
              </w:rPr>
              <w:t>高校科研诚信常态化教育引导机制</w:t>
            </w:r>
            <w:r>
              <w:rPr>
                <w:rFonts w:hint="eastAsia" w:ascii="仿宋_GB2312" w:hAnsi="仿宋_GB2312" w:eastAsia="仿宋_GB2312" w:cs="仿宋_GB2312"/>
                <w:kern w:val="2"/>
                <w:sz w:val="24"/>
                <w:szCs w:val="24"/>
                <w:lang w:val="en-US" w:eastAsia="zh-CN" w:bidi="ar"/>
              </w:rPr>
              <w:t>、</w:t>
            </w:r>
            <w:r>
              <w:rPr>
                <w:rFonts w:hint="default" w:ascii="仿宋_GB2312" w:hAnsi="仿宋_GB2312" w:eastAsia="仿宋_GB2312" w:cs="仿宋_GB2312"/>
                <w:kern w:val="2"/>
                <w:sz w:val="24"/>
                <w:szCs w:val="24"/>
                <w:lang w:val="en-US" w:eastAsia="zh-CN" w:bidi="ar"/>
              </w:rPr>
              <w:t>高校科研诚信常态化教育引导机制</w:t>
            </w:r>
            <w:r>
              <w:rPr>
                <w:rFonts w:hint="eastAsia" w:ascii="仿宋_GB2312" w:hAnsi="仿宋_GB2312" w:eastAsia="仿宋_GB2312" w:cs="仿宋_GB2312"/>
                <w:kern w:val="2"/>
                <w:sz w:val="24"/>
                <w:szCs w:val="24"/>
                <w:lang w:val="en-US" w:eastAsia="zh-CN" w:bidi="ar"/>
              </w:rPr>
              <w:t>、</w:t>
            </w:r>
            <w:r>
              <w:rPr>
                <w:rFonts w:hint="default" w:ascii="仿宋_GB2312" w:hAnsi="仿宋_GB2312" w:eastAsia="仿宋_GB2312" w:cs="仿宋_GB2312"/>
                <w:kern w:val="2"/>
                <w:sz w:val="24"/>
                <w:szCs w:val="24"/>
                <w:lang w:val="en-US" w:eastAsia="zh-CN" w:bidi="ar"/>
              </w:rPr>
              <w:t>科研诚信风险预警与源头预防机制</w:t>
            </w:r>
            <w:r>
              <w:rPr>
                <w:rFonts w:hint="eastAsia" w:ascii="仿宋_GB2312" w:hAnsi="仿宋_GB2312" w:eastAsia="仿宋_GB2312" w:cs="仿宋_GB2312"/>
                <w:kern w:val="2"/>
                <w:sz w:val="24"/>
                <w:szCs w:val="24"/>
                <w:lang w:val="en-US" w:eastAsia="zh-CN" w:bidi="ar"/>
              </w:rPr>
              <w:t>、</w:t>
            </w:r>
            <w:r>
              <w:rPr>
                <w:rFonts w:hint="default" w:ascii="仿宋_GB2312" w:hAnsi="仿宋_GB2312" w:eastAsia="仿宋_GB2312" w:cs="仿宋_GB2312"/>
                <w:kern w:val="2"/>
                <w:sz w:val="24"/>
                <w:szCs w:val="24"/>
                <w:lang w:val="en-US" w:eastAsia="zh-CN" w:bidi="ar"/>
              </w:rPr>
              <w:t>科研不端行为受理、调查、处置闭环工作机制</w:t>
            </w:r>
            <w:r>
              <w:rPr>
                <w:rFonts w:hint="eastAsia" w:ascii="仿宋_GB2312" w:hAnsi="仿宋_GB2312" w:eastAsia="仿宋_GB2312" w:cs="仿宋_GB2312"/>
                <w:kern w:val="2"/>
                <w:sz w:val="24"/>
                <w:szCs w:val="24"/>
                <w:lang w:val="en-US" w:eastAsia="zh-CN" w:bidi="ar"/>
              </w:rPr>
              <w:t>等方面开展研究，提出健全完善我省高校科研诚信管理工作机制的具体对策，形成制度建议、工作举措，为教育管理部门政策完善提供参考依据。</w:t>
            </w:r>
          </w:p>
          <w:p w14:paraId="2405F3BD">
            <w:pPr>
              <w:numPr>
                <w:ilvl w:val="0"/>
                <w:numId w:val="0"/>
              </w:numPr>
              <w:autoSpaceDE/>
              <w:spacing w:line="0" w:lineRule="atLeast"/>
              <w:ind w:left="0" w:leftChars="0" w:firstLine="0" w:firstLineChars="0"/>
              <w:jc w:val="center"/>
              <w:rPr>
                <w:rFonts w:hint="eastAsia" w:ascii="仿宋_GB2312" w:hAnsi="仿宋_GB2312" w:eastAsia="仿宋_GB2312" w:cs="仿宋_GB2312"/>
                <w:kern w:val="2"/>
                <w:sz w:val="24"/>
                <w:szCs w:val="24"/>
                <w:lang w:val="en-US" w:eastAsia="zh-CN" w:bidi="ar"/>
              </w:rPr>
            </w:pPr>
          </w:p>
        </w:tc>
        <w:tc>
          <w:tcPr>
            <w:tcW w:w="1499" w:type="dxa"/>
            <w:vMerge w:val="continue"/>
            <w:noWrap w:val="0"/>
            <w:vAlign w:val="center"/>
          </w:tcPr>
          <w:p w14:paraId="26CB8A45">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4B3919EE">
            <w:pPr>
              <w:autoSpaceDE/>
              <w:autoSpaceDN/>
              <w:spacing w:line="0" w:lineRule="atLeast"/>
              <w:jc w:val="center"/>
              <w:rPr>
                <w:rFonts w:hint="eastAsia" w:ascii="仿宋_GB2312" w:hAnsi="仿宋_GB2312" w:eastAsia="仿宋_GB2312" w:cs="仿宋_GB2312"/>
                <w:kern w:val="2"/>
                <w:sz w:val="24"/>
                <w:szCs w:val="24"/>
                <w:lang w:eastAsia="zh-CN"/>
              </w:rPr>
            </w:pPr>
          </w:p>
        </w:tc>
      </w:tr>
      <w:tr w14:paraId="500A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FD09D9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15</w:t>
            </w:r>
          </w:p>
        </w:tc>
        <w:tc>
          <w:tcPr>
            <w:tcW w:w="2440" w:type="dxa"/>
            <w:noWrap w:val="0"/>
            <w:vAlign w:val="center"/>
          </w:tcPr>
          <w:p w14:paraId="466D85F5">
            <w:pPr>
              <w:widowControl/>
              <w:spacing w:line="0" w:lineRule="atLeast"/>
              <w:jc w:val="both"/>
              <w:textAlignment w:val="center"/>
              <w:rPr>
                <w:rFonts w:hint="eastAsia" w:ascii="仿宋_GB2312" w:hAnsi="仿宋_GB2312" w:eastAsia="仿宋_GB2312" w:cs="仿宋_GB2312"/>
                <w:color w:val="000000"/>
                <w:sz w:val="24"/>
                <w:szCs w:val="24"/>
                <w:lang w:val="en-US" w:eastAsia="zh-CN" w:bidi="ar"/>
              </w:rPr>
            </w:pPr>
            <w:r>
              <w:rPr>
                <w:rFonts w:hint="eastAsia" w:ascii="仿宋_GB2312" w:hAnsi="仿宋_GB2312" w:eastAsia="仿宋_GB2312" w:cs="仿宋_GB2312"/>
                <w:color w:val="000000"/>
                <w:sz w:val="24"/>
                <w:szCs w:val="24"/>
                <w:lang w:eastAsia="zh-CN" w:bidi="ar"/>
              </w:rPr>
              <w:t>全省教育大数据中心背景下教育大模型安全审核、检测与攻防演练机制研究</w:t>
            </w:r>
          </w:p>
        </w:tc>
        <w:tc>
          <w:tcPr>
            <w:tcW w:w="4454" w:type="dxa"/>
            <w:noWrap w:val="0"/>
            <w:vAlign w:val="center"/>
          </w:tcPr>
          <w:p w14:paraId="69381869">
            <w:pPr>
              <w:widowControl/>
              <w:spacing w:line="0" w:lineRule="atLeast"/>
              <w:jc w:val="both"/>
              <w:textAlignment w:val="center"/>
              <w:rPr>
                <w:rFonts w:hint="eastAsia" w:ascii="仿宋_GB2312" w:hAnsi="仿宋_GB2312" w:eastAsia="仿宋_GB2312" w:cs="仿宋_GB2312"/>
                <w:color w:val="000000"/>
                <w:sz w:val="24"/>
                <w:szCs w:val="24"/>
                <w:lang w:val="en-US" w:eastAsia="zh-CN" w:bidi="ar"/>
              </w:rPr>
            </w:pPr>
            <w:r>
              <w:rPr>
                <w:rFonts w:hint="eastAsia" w:ascii="仿宋_GB2312" w:hAnsi="仿宋_GB2312" w:eastAsia="仿宋_GB2312" w:cs="仿宋_GB2312"/>
                <w:color w:val="000000"/>
                <w:sz w:val="24"/>
                <w:szCs w:val="24"/>
                <w:lang w:eastAsia="zh-CN" w:bidi="ar"/>
              </w:rPr>
              <w:t>依托全省教育大数据中心建设，教育大模型加速进入教学、管理和服务场景，但内容安全、数据泄露、模型幻觉和提示词攻击等风险凸显。</w:t>
            </w:r>
            <w:r>
              <w:rPr>
                <w:rFonts w:hint="eastAsia" w:ascii="仿宋_GB2312" w:hAnsi="仿宋_GB2312" w:eastAsia="仿宋_GB2312" w:cs="仿宋_GB2312"/>
                <w:color w:val="000000"/>
                <w:sz w:val="24"/>
                <w:szCs w:val="24"/>
                <w:lang w:val="en-US" w:eastAsia="zh-CN" w:bidi="ar"/>
              </w:rPr>
              <w:t>研究</w:t>
            </w:r>
            <w:r>
              <w:rPr>
                <w:rFonts w:hint="eastAsia" w:ascii="仿宋_GB2312" w:hAnsi="仿宋_GB2312" w:eastAsia="仿宋_GB2312" w:cs="仿宋_GB2312"/>
                <w:color w:val="000000"/>
                <w:sz w:val="24"/>
                <w:szCs w:val="24"/>
                <w:lang w:eastAsia="zh-CN" w:bidi="ar"/>
              </w:rPr>
              <w:t>聚焦安全审核、技术检测与攻防演练，有助于建立可验证、可监管、可应急的教育大模型安全屏障，支撑“人工智能+教育”规范发展。</w:t>
            </w:r>
          </w:p>
        </w:tc>
        <w:tc>
          <w:tcPr>
            <w:tcW w:w="3944" w:type="dxa"/>
            <w:noWrap w:val="0"/>
            <w:vAlign w:val="center"/>
          </w:tcPr>
          <w:p w14:paraId="58C55BD9">
            <w:pPr>
              <w:widowControl/>
              <w:spacing w:line="0" w:lineRule="atLeast"/>
              <w:jc w:val="both"/>
              <w:textAlignment w:val="center"/>
              <w:rPr>
                <w:rFonts w:hint="eastAsia" w:ascii="仿宋_GB2312" w:hAnsi="仿宋_GB2312" w:eastAsia="仿宋_GB2312" w:cs="仿宋_GB2312"/>
                <w:color w:val="000000"/>
                <w:sz w:val="24"/>
                <w:szCs w:val="24"/>
                <w:lang w:val="en-US" w:eastAsia="zh-CN" w:bidi="ar"/>
              </w:rPr>
            </w:pPr>
            <w:r>
              <w:rPr>
                <w:rFonts w:hint="eastAsia" w:ascii="仿宋_GB2312" w:hAnsi="仿宋_GB2312" w:eastAsia="仿宋_GB2312" w:cs="仿宋_GB2312"/>
                <w:color w:val="000000"/>
                <w:sz w:val="24"/>
                <w:szCs w:val="24"/>
                <w:lang w:eastAsia="zh-CN" w:bidi="ar"/>
              </w:rPr>
              <w:t>构建教育大模型安全审核指标体系，覆盖内容合规、数据隐私、算法透明和未成年人保护；研发自动化检测工具，开展提示词注入、越狱攻击、数据外泄等风险测试；设计常态化攻防演练方案与评估标准；提出备案审查、风险预警、应急响应和持续监测机制。</w:t>
            </w:r>
          </w:p>
        </w:tc>
        <w:tc>
          <w:tcPr>
            <w:tcW w:w="1499" w:type="dxa"/>
            <w:vMerge w:val="continue"/>
            <w:noWrap w:val="0"/>
            <w:vAlign w:val="center"/>
          </w:tcPr>
          <w:p w14:paraId="031C0BBE">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55C2FA8F">
            <w:pPr>
              <w:autoSpaceDE/>
              <w:autoSpaceDN/>
              <w:spacing w:line="0" w:lineRule="atLeast"/>
              <w:jc w:val="center"/>
              <w:rPr>
                <w:rFonts w:hint="eastAsia" w:ascii="仿宋_GB2312" w:hAnsi="仿宋_GB2312" w:eastAsia="仿宋_GB2312" w:cs="仿宋_GB2312"/>
                <w:kern w:val="2"/>
                <w:sz w:val="24"/>
                <w:szCs w:val="24"/>
                <w:lang w:eastAsia="zh-CN"/>
              </w:rPr>
            </w:pPr>
          </w:p>
        </w:tc>
      </w:tr>
      <w:tr w14:paraId="62C2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C2F7A37">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16</w:t>
            </w:r>
          </w:p>
        </w:tc>
        <w:tc>
          <w:tcPr>
            <w:tcW w:w="2440" w:type="dxa"/>
            <w:noWrap w:val="0"/>
            <w:vAlign w:val="center"/>
          </w:tcPr>
          <w:p w14:paraId="0FB5A12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高等学校推进学科交叉方式研究</w:t>
            </w:r>
          </w:p>
        </w:tc>
        <w:tc>
          <w:tcPr>
            <w:tcW w:w="4454" w:type="dxa"/>
            <w:noWrap w:val="0"/>
            <w:vAlign w:val="center"/>
          </w:tcPr>
          <w:p w14:paraId="5877893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党的二十大及二十届三中、四中全会、教育强国建设规划纲要（2024—2035年）、教育发展“十五五”规划将交叉学科建设、促进学科交叉融合作为重要任务。“双一流”建设文件也提出“不拘泥于一级学科，允许部分高校按领域和方向开展学科建设”。研究以我省高校为对象，考察学科交叉的组织方式与制度条件，为政策落地提供可操作的路径参考。</w:t>
            </w:r>
          </w:p>
        </w:tc>
        <w:tc>
          <w:tcPr>
            <w:tcW w:w="3944" w:type="dxa"/>
            <w:noWrap w:val="0"/>
            <w:vAlign w:val="center"/>
          </w:tcPr>
          <w:p w14:paraId="03D524C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参考国际高等教育先进国家和地区推动学科交叉融合建设方式，研究我省高校如何结合自身优势，打破学科、院系、校际壁垒，构建按领域和方向发展的新型学科交叉组织模式，形成高校重塑复合型人才培养体系、适配交叉领域考核评价标准、健全资源保障制度的研究报告。</w:t>
            </w:r>
          </w:p>
        </w:tc>
        <w:tc>
          <w:tcPr>
            <w:tcW w:w="1499" w:type="dxa"/>
            <w:noWrap w:val="0"/>
            <w:vAlign w:val="center"/>
          </w:tcPr>
          <w:p w14:paraId="0564F122">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020-37628043</w:t>
            </w:r>
          </w:p>
        </w:tc>
        <w:tc>
          <w:tcPr>
            <w:tcW w:w="1477" w:type="dxa"/>
            <w:noWrap w:val="0"/>
            <w:vAlign w:val="center"/>
          </w:tcPr>
          <w:p w14:paraId="5BA4733B">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研究生教育处（省学位委员会办公室）</w:t>
            </w:r>
          </w:p>
        </w:tc>
      </w:tr>
      <w:tr w14:paraId="7074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22A796E">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17</w:t>
            </w:r>
          </w:p>
        </w:tc>
        <w:tc>
          <w:tcPr>
            <w:tcW w:w="2440" w:type="dxa"/>
            <w:noWrap w:val="0"/>
            <w:vAlign w:val="center"/>
          </w:tcPr>
          <w:p w14:paraId="0787128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广东省民办高校举办者（实控人）依法履职监管及理（董）事长年度述职研究</w:t>
            </w:r>
          </w:p>
        </w:tc>
        <w:tc>
          <w:tcPr>
            <w:tcW w:w="4454" w:type="dxa"/>
            <w:noWrap w:val="0"/>
            <w:vAlign w:val="center"/>
          </w:tcPr>
          <w:p w14:paraId="231A142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针对广东省民办高校举办者（实控人）履职边界不清、监管机制薄弱、内部治理体系不规范等问题，聚焦法治化监管与责任落实开展研究。通过健全常态化监管体系、推行理（董）事长年度述职试点，压实办学主体责任，进一步规范学校决策机构决策行为，有效防范办学风险，为完善民办高校治理体系、引导规范民办高校健康发展提供制度支撑和实践样板。</w:t>
            </w:r>
          </w:p>
        </w:tc>
        <w:tc>
          <w:tcPr>
            <w:tcW w:w="3944" w:type="dxa"/>
            <w:noWrap w:val="0"/>
            <w:vAlign w:val="center"/>
          </w:tcPr>
          <w:p w14:paraId="224C195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举办者（实控人）法定权责与履职负面清单，查摆当前履职监管短板；构建事前审核、事中监管、事后追责的全链条监管机制；设计理（董）事长年度述职试点制度，明确述职内容、评议流程、评价标准及结果运用，形成可复制的试点工作模式。</w:t>
            </w:r>
          </w:p>
        </w:tc>
        <w:tc>
          <w:tcPr>
            <w:tcW w:w="1499" w:type="dxa"/>
            <w:vMerge w:val="restart"/>
            <w:noWrap w:val="0"/>
            <w:vAlign w:val="center"/>
          </w:tcPr>
          <w:p w14:paraId="33D20C6E">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020-37626943</w:t>
            </w:r>
          </w:p>
        </w:tc>
        <w:tc>
          <w:tcPr>
            <w:tcW w:w="1477" w:type="dxa"/>
            <w:vMerge w:val="restart"/>
            <w:noWrap w:val="0"/>
            <w:vAlign w:val="center"/>
          </w:tcPr>
          <w:p w14:paraId="5F36E1A2">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政策法规处</w:t>
            </w:r>
          </w:p>
        </w:tc>
      </w:tr>
      <w:tr w14:paraId="1B68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7AC8C5AF">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18</w:t>
            </w:r>
          </w:p>
        </w:tc>
        <w:tc>
          <w:tcPr>
            <w:tcW w:w="2440" w:type="dxa"/>
            <w:noWrap w:val="0"/>
            <w:vAlign w:val="center"/>
          </w:tcPr>
          <w:p w14:paraId="4A5FF24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广东省民办高校高质量发展行动计划及实施保障研究</w:t>
            </w:r>
          </w:p>
        </w:tc>
        <w:tc>
          <w:tcPr>
            <w:tcW w:w="4454" w:type="dxa"/>
            <w:noWrap w:val="0"/>
            <w:vAlign w:val="center"/>
          </w:tcPr>
          <w:p w14:paraId="0B479E5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立足我省民办高校内涵建设不足、质量不高、特色不强等问题，紧扣教育强省和新时代高等教育高质量发展要求，研制五年专项行动计划。通过顶层设计明确发展目标、重点任务与实施路径，凝聚全省民办高校高质量发展导向，精准破解高质量发展瓶颈，为2026—2030年全省民办高校提质增效、内涵发展提供方向指引。</w:t>
            </w:r>
          </w:p>
        </w:tc>
        <w:tc>
          <w:tcPr>
            <w:tcW w:w="3944" w:type="dxa"/>
            <w:noWrap w:val="0"/>
            <w:vAlign w:val="center"/>
          </w:tcPr>
          <w:p w14:paraId="640837A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研判政策形势与全省民办高校发展现状，梳理短板弱项；提出我省民办高校高质量发展行动计划的指导思想与行动目标；研制党建引领、分类管理、政策支持、内涵建设、治理体系等重点行动任务；健全组织、政策、评估等保障机制。</w:t>
            </w:r>
          </w:p>
        </w:tc>
        <w:tc>
          <w:tcPr>
            <w:tcW w:w="1499" w:type="dxa"/>
            <w:vMerge w:val="continue"/>
            <w:noWrap w:val="0"/>
            <w:vAlign w:val="center"/>
          </w:tcPr>
          <w:p w14:paraId="1637E3A4">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AADF17E">
            <w:pPr>
              <w:autoSpaceDE/>
              <w:autoSpaceDN/>
              <w:spacing w:line="0" w:lineRule="atLeast"/>
              <w:jc w:val="center"/>
              <w:rPr>
                <w:rFonts w:hint="eastAsia" w:ascii="仿宋_GB2312" w:hAnsi="仿宋_GB2312" w:eastAsia="仿宋_GB2312" w:cs="仿宋_GB2312"/>
                <w:kern w:val="2"/>
                <w:sz w:val="24"/>
                <w:szCs w:val="24"/>
                <w:lang w:eastAsia="zh-CN"/>
              </w:rPr>
            </w:pPr>
          </w:p>
        </w:tc>
      </w:tr>
      <w:tr w14:paraId="21EC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C6CAC41">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19</w:t>
            </w:r>
          </w:p>
        </w:tc>
        <w:tc>
          <w:tcPr>
            <w:tcW w:w="2440" w:type="dxa"/>
            <w:noWrap w:val="0"/>
            <w:vAlign w:val="center"/>
          </w:tcPr>
          <w:p w14:paraId="4ED4615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高校学科专业结构优化与动态调整机制研究</w:t>
            </w:r>
          </w:p>
        </w:tc>
        <w:tc>
          <w:tcPr>
            <w:tcW w:w="4454" w:type="dxa"/>
            <w:noWrap w:val="0"/>
            <w:vAlign w:val="center"/>
          </w:tcPr>
          <w:p w14:paraId="276AE05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破解高校专业设置同质化、滞后于产业需求等难题。聚焦新兴产业，提升理工农医类专业占比，增强高等教育服务区域经济发展的能力。</w:t>
            </w:r>
          </w:p>
        </w:tc>
        <w:tc>
          <w:tcPr>
            <w:tcW w:w="3944" w:type="dxa"/>
            <w:noWrap w:val="0"/>
            <w:vAlign w:val="center"/>
          </w:tcPr>
          <w:p w14:paraId="0EE8E7F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分析广东高校学科专业布局现状及与产业匹配度，研究低空经济、集成电路、人工智能等新兴领域人才需求预测机制，探索建立“产业需求驱动、政府宏观引导、高校自主调整”的专业动态调整模型，提出优化全省高等教育布局及专业结构、建设专业特色学院的政策建议。</w:t>
            </w:r>
          </w:p>
        </w:tc>
        <w:tc>
          <w:tcPr>
            <w:tcW w:w="1499" w:type="dxa"/>
            <w:noWrap w:val="0"/>
            <w:vAlign w:val="center"/>
          </w:tcPr>
          <w:p w14:paraId="1083F071">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020-37627887</w:t>
            </w:r>
          </w:p>
        </w:tc>
        <w:tc>
          <w:tcPr>
            <w:tcW w:w="1477" w:type="dxa"/>
            <w:vMerge w:val="restart"/>
            <w:noWrap w:val="0"/>
            <w:vAlign w:val="center"/>
          </w:tcPr>
          <w:p w14:paraId="04C80FA3">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 xml:space="preserve"> 高等教育处</w:t>
            </w:r>
          </w:p>
        </w:tc>
      </w:tr>
      <w:tr w14:paraId="3116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A9DC6F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20</w:t>
            </w:r>
          </w:p>
        </w:tc>
        <w:tc>
          <w:tcPr>
            <w:tcW w:w="2440" w:type="dxa"/>
            <w:noWrap w:val="0"/>
            <w:vAlign w:val="center"/>
          </w:tcPr>
          <w:p w14:paraId="6D686CC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关键领域拔尖创新人才培养的现状调查与政策优化研究</w:t>
            </w:r>
          </w:p>
        </w:tc>
        <w:tc>
          <w:tcPr>
            <w:tcW w:w="4454" w:type="dxa"/>
            <w:noWrap w:val="0"/>
            <w:vAlign w:val="center"/>
          </w:tcPr>
          <w:p w14:paraId="70CB401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破解关键领域拔尖创新人才短缺困境，提升人才自主培养质量与产业支撑力，为广东打造全球科技创新高地提供智力支撑。</w:t>
            </w:r>
          </w:p>
        </w:tc>
        <w:tc>
          <w:tcPr>
            <w:tcW w:w="3944" w:type="dxa"/>
            <w:noWrap w:val="0"/>
            <w:vAlign w:val="center"/>
          </w:tcPr>
          <w:p w14:paraId="2A455A6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调研广东高校人工智能、集成电路、工业软件等关键领域拔尖创新人才培养，分析招生选拔、本硕博贯通、科教融汇、产教融合等环节的实施现状与主要障碍；梳理国内外典型培养模式及支持政策；总结省内高校有效做法，提出优化培养模式与政策支持的建议。</w:t>
            </w:r>
          </w:p>
        </w:tc>
        <w:tc>
          <w:tcPr>
            <w:tcW w:w="1499" w:type="dxa"/>
            <w:vMerge w:val="restart"/>
            <w:noWrap w:val="0"/>
            <w:vAlign w:val="center"/>
          </w:tcPr>
          <w:p w14:paraId="0F53965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020-37627750</w:t>
            </w:r>
          </w:p>
        </w:tc>
        <w:tc>
          <w:tcPr>
            <w:tcW w:w="1477" w:type="dxa"/>
            <w:vMerge w:val="continue"/>
            <w:noWrap w:val="0"/>
            <w:vAlign w:val="center"/>
          </w:tcPr>
          <w:p w14:paraId="521629B6">
            <w:pPr>
              <w:autoSpaceDE/>
              <w:autoSpaceDN/>
              <w:spacing w:line="0" w:lineRule="atLeast"/>
              <w:jc w:val="center"/>
              <w:rPr>
                <w:rFonts w:hint="eastAsia" w:ascii="仿宋_GB2312" w:hAnsi="仿宋_GB2312" w:eastAsia="仿宋_GB2312" w:cs="仿宋_GB2312"/>
                <w:kern w:val="2"/>
                <w:sz w:val="24"/>
                <w:szCs w:val="24"/>
                <w:lang w:eastAsia="zh-CN"/>
              </w:rPr>
            </w:pPr>
          </w:p>
        </w:tc>
      </w:tr>
      <w:tr w14:paraId="2CC0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05ACB57">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21</w:t>
            </w:r>
          </w:p>
        </w:tc>
        <w:tc>
          <w:tcPr>
            <w:tcW w:w="2440" w:type="dxa"/>
            <w:noWrap w:val="0"/>
            <w:vAlign w:val="center"/>
          </w:tcPr>
          <w:p w14:paraId="4CA9B1F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应用型本科高校“双优”建设的支持策略与推进路径研究</w:t>
            </w:r>
          </w:p>
        </w:tc>
        <w:tc>
          <w:tcPr>
            <w:tcW w:w="4454" w:type="dxa"/>
            <w:noWrap w:val="0"/>
            <w:vAlign w:val="center"/>
          </w:tcPr>
          <w:p w14:paraId="25066AD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立足全省研究支持策略与推进路径，提升应用型本科整体办学实力与服务区域发展能力。</w:t>
            </w:r>
          </w:p>
        </w:tc>
        <w:tc>
          <w:tcPr>
            <w:tcW w:w="3944" w:type="dxa"/>
            <w:noWrap w:val="0"/>
            <w:vAlign w:val="center"/>
          </w:tcPr>
          <w:p w14:paraId="27BECE0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国内外应用型本科建设的典型模式，提炼可借鉴经验；分析广东应用型本科高校发展现状；研究构建分类评价指标体系，以及省级层面在政策引导、资源配置、分类评价等方面的支持策略；提出全省分类推进应用型本科高校“双优”建设的实施路径与政策建议。</w:t>
            </w:r>
          </w:p>
        </w:tc>
        <w:tc>
          <w:tcPr>
            <w:tcW w:w="1499" w:type="dxa"/>
            <w:vMerge w:val="continue"/>
            <w:noWrap w:val="0"/>
            <w:vAlign w:val="center"/>
          </w:tcPr>
          <w:p w14:paraId="2DD30613">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483B3143">
            <w:pPr>
              <w:autoSpaceDE/>
              <w:autoSpaceDN/>
              <w:spacing w:line="0" w:lineRule="atLeast"/>
              <w:jc w:val="center"/>
              <w:rPr>
                <w:rFonts w:hint="eastAsia" w:ascii="仿宋_GB2312" w:hAnsi="仿宋_GB2312" w:eastAsia="仿宋_GB2312" w:cs="仿宋_GB2312"/>
                <w:kern w:val="2"/>
                <w:sz w:val="24"/>
                <w:szCs w:val="24"/>
                <w:lang w:eastAsia="zh-CN"/>
              </w:rPr>
            </w:pPr>
          </w:p>
        </w:tc>
      </w:tr>
      <w:tr w14:paraId="5740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B9C27E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22</w:t>
            </w:r>
          </w:p>
        </w:tc>
        <w:tc>
          <w:tcPr>
            <w:tcW w:w="2440" w:type="dxa"/>
            <w:noWrap w:val="0"/>
            <w:vAlign w:val="center"/>
          </w:tcPr>
          <w:p w14:paraId="4A6C279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广东中职学校布局优化改革路径研究</w:t>
            </w:r>
          </w:p>
        </w:tc>
        <w:tc>
          <w:tcPr>
            <w:tcW w:w="4454" w:type="dxa"/>
            <w:noWrap w:val="0"/>
            <w:vAlign w:val="center"/>
          </w:tcPr>
          <w:p w14:paraId="740B665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根据国家和省“十五五”规划关于中职发展的要求，针对我省中职学校布局存在区域不均衡、专业重复、产业协同不足等问题，开展布局优化改革路径研究，优化资源配置、提升办学效益，推动中职教育与区域产业协同发展，为广东建设现代职业教育体系、服务制造强省战略提供决策参考。</w:t>
            </w:r>
          </w:p>
        </w:tc>
        <w:tc>
          <w:tcPr>
            <w:tcW w:w="3944" w:type="dxa"/>
            <w:noWrap w:val="0"/>
            <w:vAlign w:val="center"/>
          </w:tcPr>
          <w:p w14:paraId="7F348C6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系统梳理广东中职学校布局现状与“十五五”至2035年面临的升学就业挑战，分析区域分布、专业设置、办学规模与产业需求、人口结构、学龄人口的适配情况；诊断布局存在的问题；借鉴兄弟省份中职学校布局调整经验，从区域统筹、资源整合、专业优化、产教融合、政策保障等维度，提出广东中职学校布局优化的目标定位、实施路径与配套改革举措建议。</w:t>
            </w:r>
          </w:p>
        </w:tc>
        <w:tc>
          <w:tcPr>
            <w:tcW w:w="1499" w:type="dxa"/>
            <w:vMerge w:val="restart"/>
            <w:noWrap w:val="0"/>
            <w:vAlign w:val="center"/>
          </w:tcPr>
          <w:p w14:paraId="3298F4B7">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020-37626863</w:t>
            </w:r>
          </w:p>
        </w:tc>
        <w:tc>
          <w:tcPr>
            <w:tcW w:w="1477" w:type="dxa"/>
            <w:vMerge w:val="restart"/>
            <w:noWrap w:val="0"/>
            <w:vAlign w:val="center"/>
          </w:tcPr>
          <w:p w14:paraId="629C1F21">
            <w:pPr>
              <w:widowControl w:val="0"/>
              <w:autoSpaceDE/>
              <w:autoSpaceDN/>
              <w:spacing w:line="0" w:lineRule="atLeast"/>
              <w:jc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sz w:val="24"/>
                <w:szCs w:val="24"/>
                <w:lang w:val="en-US" w:eastAsia="zh-CN" w:bidi="ar-SA"/>
              </w:rPr>
              <w:t>职业教育与终身教育处</w:t>
            </w:r>
          </w:p>
        </w:tc>
      </w:tr>
      <w:tr w14:paraId="7826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4724D38">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23</w:t>
            </w:r>
          </w:p>
        </w:tc>
        <w:tc>
          <w:tcPr>
            <w:tcW w:w="2440" w:type="dxa"/>
            <w:noWrap w:val="0"/>
            <w:vAlign w:val="center"/>
          </w:tcPr>
          <w:p w14:paraId="2BEE035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广东省中高本人才贯通培养机制改革研究</w:t>
            </w:r>
          </w:p>
        </w:tc>
        <w:tc>
          <w:tcPr>
            <w:tcW w:w="4454" w:type="dxa"/>
            <w:noWrap w:val="0"/>
            <w:vAlign w:val="center"/>
          </w:tcPr>
          <w:p w14:paraId="4CC0BA2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贯彻《国家职业教育改革实施方案》《关于深化现代职业教育体系建设改革的意见》部署，落实广东省中高本贯通培养改革要求，畅通技术技能人才成长通道，聚焦当前转段考核机制不完善、课程重复脱节严重、一体化体系尚未建立等突出问题，开展机制改革研究，为完善广东贯通培养政策提供依据。</w:t>
            </w:r>
          </w:p>
        </w:tc>
        <w:tc>
          <w:tcPr>
            <w:tcW w:w="3944" w:type="dxa"/>
            <w:noWrap w:val="0"/>
            <w:vAlign w:val="center"/>
          </w:tcPr>
          <w:p w14:paraId="104E385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系统梳理全国中高本贯通培养的政策演进与实践现状，重点考察江苏、上海、山东等省（市）典型模式，提炼可资借鉴的经验；深入总结广东三二分段、五年一贯制、“3+4”等试点的成效与不足，剖析学段壁垒、课程重复脱节、考核标准不统一、产教协同不深等突出问题；在此基础上，探索契合广东产业需求与技术技能人才成长规律的新型贯通培养模式，形成可复制、可推广的“广东方案”。</w:t>
            </w:r>
          </w:p>
        </w:tc>
        <w:tc>
          <w:tcPr>
            <w:tcW w:w="1499" w:type="dxa"/>
            <w:vMerge w:val="continue"/>
            <w:noWrap w:val="0"/>
            <w:vAlign w:val="center"/>
          </w:tcPr>
          <w:p w14:paraId="681B06C7">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70D4806">
            <w:pPr>
              <w:autoSpaceDE/>
              <w:autoSpaceDN/>
              <w:spacing w:line="0" w:lineRule="atLeast"/>
              <w:jc w:val="center"/>
              <w:rPr>
                <w:rFonts w:hint="eastAsia" w:ascii="仿宋_GB2312" w:hAnsi="仿宋_GB2312" w:eastAsia="仿宋_GB2312" w:cs="仿宋_GB2312"/>
                <w:kern w:val="2"/>
                <w:sz w:val="24"/>
                <w:szCs w:val="24"/>
                <w:lang w:eastAsia="zh-CN"/>
              </w:rPr>
            </w:pPr>
          </w:p>
        </w:tc>
      </w:tr>
      <w:tr w14:paraId="7DD9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171944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24</w:t>
            </w:r>
          </w:p>
        </w:tc>
        <w:tc>
          <w:tcPr>
            <w:tcW w:w="2440" w:type="dxa"/>
            <w:noWrap w:val="0"/>
            <w:vAlign w:val="center"/>
          </w:tcPr>
          <w:p w14:paraId="7A1B00F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泛在可及终身教育体系建设背景下广东终身教育内涵与质量提升的机制路径研究</w:t>
            </w:r>
          </w:p>
        </w:tc>
        <w:tc>
          <w:tcPr>
            <w:tcW w:w="4454" w:type="dxa"/>
            <w:noWrap w:val="0"/>
            <w:vAlign w:val="center"/>
          </w:tcPr>
          <w:p w14:paraId="6611002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提升终身教育内涵质量是建设教育强省的内在要求。研究贯彻落实教育强省和省终身学习体系建设行动计划部署，围绕终身教育的内涵质量提升机制开展研究，为我省终身教育管理提供理论依据与决策参考。</w:t>
            </w:r>
          </w:p>
        </w:tc>
        <w:tc>
          <w:tcPr>
            <w:tcW w:w="3944" w:type="dxa"/>
            <w:noWrap w:val="0"/>
            <w:vAlign w:val="center"/>
          </w:tcPr>
          <w:p w14:paraId="43BDD2E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上位政策任务、省情基础与“十四五”实践，研究广东终身教育内涵质量提升的理论与机制，明确提升的方向与总体思路；研究论证质量提升的实施路径，明确提升的具体方法和关键环节；研究质量提升的监测评价机制，构建质量提升监测指标体系。</w:t>
            </w:r>
          </w:p>
        </w:tc>
        <w:tc>
          <w:tcPr>
            <w:tcW w:w="1499" w:type="dxa"/>
            <w:vMerge w:val="continue"/>
            <w:noWrap w:val="0"/>
            <w:vAlign w:val="center"/>
          </w:tcPr>
          <w:p w14:paraId="0F2B6DF5">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A678056">
            <w:pPr>
              <w:autoSpaceDE/>
              <w:autoSpaceDN/>
              <w:spacing w:line="0" w:lineRule="atLeast"/>
              <w:jc w:val="center"/>
              <w:rPr>
                <w:rFonts w:hint="eastAsia" w:ascii="仿宋_GB2312" w:hAnsi="仿宋_GB2312" w:eastAsia="仿宋_GB2312" w:cs="仿宋_GB2312"/>
                <w:kern w:val="2"/>
                <w:sz w:val="24"/>
                <w:szCs w:val="24"/>
                <w:lang w:eastAsia="zh-CN"/>
              </w:rPr>
            </w:pPr>
          </w:p>
        </w:tc>
      </w:tr>
      <w:tr w14:paraId="29C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2CC202F">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25</w:t>
            </w:r>
          </w:p>
        </w:tc>
        <w:tc>
          <w:tcPr>
            <w:tcW w:w="2440" w:type="dxa"/>
            <w:noWrap w:val="0"/>
            <w:vAlign w:val="center"/>
          </w:tcPr>
          <w:p w14:paraId="1251C56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教育强省背景下适配学龄人口动态变化的中小学资源统筹配置与编制岗位联动机制研究</w:t>
            </w:r>
          </w:p>
        </w:tc>
        <w:tc>
          <w:tcPr>
            <w:tcW w:w="4454" w:type="dxa"/>
            <w:noWrap w:val="0"/>
            <w:vAlign w:val="center"/>
          </w:tcPr>
          <w:p w14:paraId="63B9C4E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立足广东学龄人口区域分化特征，破解中小学校学位、编制、师资结构性错配难题，打通人口变动与教育资源调配联动堵点，完善教育资源动态调控体系，为基础教育优质均衡、编制资源精准配置、师资队伍统筹优化提供实践支撑。</w:t>
            </w:r>
          </w:p>
        </w:tc>
        <w:tc>
          <w:tcPr>
            <w:tcW w:w="3944" w:type="dxa"/>
            <w:noWrap w:val="0"/>
            <w:vAlign w:val="center"/>
          </w:tcPr>
          <w:p w14:paraId="5BCEF30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分析广东省学龄人口增减区域差异与教育资源供需矛盾，构建人口预警、学校布局、学位供给联动机制。聚焦基础教育高质量发展要求，探索中小学编制周转、岗位动态调整、师资统筹调配模式，建立生源波动下基础教育资源的动态适配机制，形成可落地的资源配置优化方案。</w:t>
            </w:r>
          </w:p>
        </w:tc>
        <w:tc>
          <w:tcPr>
            <w:tcW w:w="1499" w:type="dxa"/>
            <w:noWrap w:val="0"/>
            <w:vAlign w:val="center"/>
          </w:tcPr>
          <w:p w14:paraId="232596D6">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020-37628854</w:t>
            </w:r>
          </w:p>
        </w:tc>
        <w:tc>
          <w:tcPr>
            <w:tcW w:w="1477" w:type="dxa"/>
            <w:vMerge w:val="restart"/>
            <w:noWrap w:val="0"/>
            <w:vAlign w:val="center"/>
          </w:tcPr>
          <w:p w14:paraId="2A016AD5">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人事处</w:t>
            </w:r>
          </w:p>
        </w:tc>
      </w:tr>
      <w:tr w14:paraId="2777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7470447">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26</w:t>
            </w:r>
          </w:p>
        </w:tc>
        <w:tc>
          <w:tcPr>
            <w:tcW w:w="2440" w:type="dxa"/>
            <w:noWrap w:val="0"/>
            <w:vAlign w:val="center"/>
          </w:tcPr>
          <w:p w14:paraId="62F15EE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省属高校综合考核指标体系优化研究——基于“冲补强”提升计划</w:t>
            </w:r>
          </w:p>
        </w:tc>
        <w:tc>
          <w:tcPr>
            <w:tcW w:w="4454" w:type="dxa"/>
            <w:noWrap w:val="0"/>
            <w:vAlign w:val="center"/>
          </w:tcPr>
          <w:p w14:paraId="1384BA0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综合考核是引导高校分类发展的指挥棒。现行考核分本科、高职两类设指标，尺子虽分，指标固化，强校恒强、弱校进步难显。</w:t>
            </w:r>
            <w:r>
              <w:rPr>
                <w:rFonts w:hint="eastAsia" w:ascii="仿宋_GB2312" w:hAnsi="仿宋_GB2312" w:eastAsia="仿宋_GB2312" w:cs="仿宋_GB2312"/>
                <w:kern w:val="2"/>
                <w:sz w:val="24"/>
                <w:szCs w:val="24"/>
                <w:lang w:val="en-US" w:eastAsia="zh-CN"/>
              </w:rPr>
              <w:t>选题</w:t>
            </w:r>
            <w:r>
              <w:rPr>
                <w:rFonts w:hint="eastAsia" w:ascii="仿宋_GB2312" w:hAnsi="仿宋_GB2312" w:eastAsia="仿宋_GB2312" w:cs="仿宋_GB2312"/>
                <w:kern w:val="2"/>
                <w:sz w:val="24"/>
                <w:szCs w:val="24"/>
                <w:lang w:eastAsia="zh-CN"/>
              </w:rPr>
              <w:t>对接“冲补强”计划，构建固定与动态双层指标，既保同类可比，又显进步、激励争先。</w:t>
            </w:r>
          </w:p>
        </w:tc>
        <w:tc>
          <w:tcPr>
            <w:tcW w:w="3944" w:type="dxa"/>
            <w:noWrap w:val="0"/>
            <w:vAlign w:val="center"/>
          </w:tcPr>
          <w:p w14:paraId="588BFCC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聚焦考核指标“固定＋动态”的双层重构。梳理现行本科、高职两类指标及实施情况，剖析指标固化致强校恒强、进步难显的成因；对接《高等教育“冲一流、补短板、强特色”提升计划实施方案（2026—2030年）》，按办学定位设计固定与动态指标，明确指标构成、权重、动态调整规则与数据口径，形成指标体系优化方案。</w:t>
            </w:r>
          </w:p>
        </w:tc>
        <w:tc>
          <w:tcPr>
            <w:tcW w:w="1499" w:type="dxa"/>
            <w:noWrap w:val="0"/>
            <w:vAlign w:val="center"/>
          </w:tcPr>
          <w:p w14:paraId="6FD7A0F1">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020-37627397</w:t>
            </w:r>
          </w:p>
        </w:tc>
        <w:tc>
          <w:tcPr>
            <w:tcW w:w="1477" w:type="dxa"/>
            <w:vMerge w:val="continue"/>
            <w:noWrap w:val="0"/>
            <w:vAlign w:val="center"/>
          </w:tcPr>
          <w:p w14:paraId="3DD29C21">
            <w:pPr>
              <w:autoSpaceDE/>
              <w:autoSpaceDN/>
              <w:spacing w:line="0" w:lineRule="atLeast"/>
              <w:jc w:val="center"/>
              <w:rPr>
                <w:rFonts w:hint="eastAsia" w:ascii="仿宋_GB2312" w:hAnsi="仿宋_GB2312" w:eastAsia="仿宋_GB2312" w:cs="仿宋_GB2312"/>
                <w:kern w:val="2"/>
                <w:sz w:val="24"/>
                <w:szCs w:val="24"/>
                <w:lang w:eastAsia="zh-CN"/>
              </w:rPr>
            </w:pPr>
          </w:p>
        </w:tc>
      </w:tr>
      <w:tr w14:paraId="31B8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7E8E274">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27</w:t>
            </w:r>
          </w:p>
        </w:tc>
        <w:tc>
          <w:tcPr>
            <w:tcW w:w="2440" w:type="dxa"/>
            <w:noWrap w:val="0"/>
            <w:vAlign w:val="center"/>
          </w:tcPr>
          <w:p w14:paraId="54E0A74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人工智能赋能教育行政权力数字化运行研究——以教育人事管理权力事项为例</w:t>
            </w:r>
          </w:p>
        </w:tc>
        <w:tc>
          <w:tcPr>
            <w:tcW w:w="4454" w:type="dxa"/>
            <w:noWrap w:val="0"/>
            <w:vAlign w:val="center"/>
          </w:tcPr>
          <w:p w14:paraId="6080083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教育人事权力事项关系教育系统评比表彰、人员管理、绩效分配等事项，社会关注度高。</w:t>
            </w:r>
            <w:r>
              <w:rPr>
                <w:rFonts w:hint="eastAsia" w:ascii="仿宋_GB2312" w:hAnsi="仿宋_GB2312" w:eastAsia="仿宋_GB2312" w:cs="仿宋_GB2312"/>
                <w:kern w:val="2"/>
                <w:sz w:val="24"/>
                <w:szCs w:val="24"/>
                <w:lang w:val="en-US" w:eastAsia="zh-CN"/>
              </w:rPr>
              <w:t>选题</w:t>
            </w:r>
            <w:r>
              <w:rPr>
                <w:rFonts w:hint="eastAsia" w:ascii="仿宋_GB2312" w:hAnsi="仿宋_GB2312" w:eastAsia="仿宋_GB2312" w:cs="仿宋_GB2312"/>
                <w:kern w:val="2"/>
                <w:sz w:val="24"/>
                <w:szCs w:val="24"/>
                <w:lang w:eastAsia="zh-CN"/>
              </w:rPr>
              <w:t>对接教育强省“教育改革攻坚工程”和“人工智能+”治理部署，探索权力事项标准化、运行留痕、智能监督路径，助力教育治理效能提升。</w:t>
            </w:r>
          </w:p>
        </w:tc>
        <w:tc>
          <w:tcPr>
            <w:tcW w:w="3944" w:type="dxa"/>
            <w:noWrap w:val="0"/>
            <w:vAlign w:val="center"/>
          </w:tcPr>
          <w:p w14:paraId="0A3F76F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1.</w:t>
            </w:r>
            <w:r>
              <w:rPr>
                <w:rFonts w:hint="eastAsia" w:ascii="仿宋_GB2312" w:hAnsi="仿宋_GB2312" w:eastAsia="仿宋_GB2312" w:cs="仿宋_GB2312"/>
                <w:kern w:val="2"/>
                <w:sz w:val="24"/>
                <w:szCs w:val="24"/>
                <w:lang w:eastAsia="zh-CN"/>
              </w:rPr>
              <w:t>梳理省级教育人事行政权力事项清单，厘清评比表彰、人员管理、绩效分配等事项的审批流程与风险点；2.构建权力运行数字化底座，推动事项标准化、材料电子化、流程线上化、全程留痕；</w:t>
            </w:r>
          </w:p>
          <w:p w14:paraId="66267AF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3.搭建AI辅助决策与监督模块，实现智能核验、异常预警、廉政风险识别；</w:t>
            </w:r>
          </w:p>
          <w:p w14:paraId="3B938D1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4.设计责任清单与评估机制，形成可复制推广的运行方案。</w:t>
            </w:r>
          </w:p>
        </w:tc>
        <w:tc>
          <w:tcPr>
            <w:tcW w:w="1499" w:type="dxa"/>
            <w:noWrap w:val="0"/>
            <w:vAlign w:val="center"/>
          </w:tcPr>
          <w:p w14:paraId="65E0CC24">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020-37607960</w:t>
            </w:r>
          </w:p>
        </w:tc>
        <w:tc>
          <w:tcPr>
            <w:tcW w:w="1477" w:type="dxa"/>
            <w:vMerge w:val="continue"/>
            <w:noWrap w:val="0"/>
            <w:vAlign w:val="center"/>
          </w:tcPr>
          <w:p w14:paraId="704D9823">
            <w:pPr>
              <w:autoSpaceDE/>
              <w:autoSpaceDN/>
              <w:spacing w:line="0" w:lineRule="atLeast"/>
              <w:jc w:val="center"/>
              <w:rPr>
                <w:rFonts w:hint="eastAsia" w:ascii="仿宋_GB2312" w:hAnsi="仿宋_GB2312" w:eastAsia="仿宋_GB2312" w:cs="仿宋_GB2312"/>
                <w:kern w:val="2"/>
                <w:sz w:val="24"/>
                <w:szCs w:val="24"/>
                <w:lang w:eastAsia="zh-CN"/>
              </w:rPr>
            </w:pPr>
          </w:p>
        </w:tc>
      </w:tr>
      <w:tr w14:paraId="0E2E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9B981A1">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28</w:t>
            </w:r>
          </w:p>
        </w:tc>
        <w:tc>
          <w:tcPr>
            <w:tcW w:w="2440" w:type="dxa"/>
            <w:noWrap w:val="0"/>
            <w:vAlign w:val="center"/>
          </w:tcPr>
          <w:p w14:paraId="6ADF60C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完善适应学龄人口变化的教育资源前瞻布局研究</w:t>
            </w:r>
          </w:p>
        </w:tc>
        <w:tc>
          <w:tcPr>
            <w:tcW w:w="4454" w:type="dxa"/>
            <w:noWrap w:val="0"/>
            <w:vAlign w:val="center"/>
          </w:tcPr>
          <w:p w14:paraId="0E76222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学龄人口陆续达峰深刻改变教育资源需求结构，前瞻优化资源配置事关教育强省建设全局。</w:t>
            </w:r>
            <w:r>
              <w:rPr>
                <w:rFonts w:hint="eastAsia" w:ascii="仿宋_GB2312" w:hAnsi="仿宋_GB2312" w:eastAsia="仿宋_GB2312" w:cs="仿宋_GB2312"/>
                <w:kern w:val="2"/>
                <w:sz w:val="24"/>
                <w:szCs w:val="24"/>
                <w:lang w:val="en-US" w:eastAsia="zh-CN"/>
              </w:rPr>
              <w:t>研究</w:t>
            </w:r>
            <w:r>
              <w:rPr>
                <w:rFonts w:hint="eastAsia" w:ascii="仿宋_GB2312" w:hAnsi="仿宋_GB2312" w:eastAsia="仿宋_GB2312" w:cs="仿宋_GB2312"/>
                <w:kern w:val="2"/>
                <w:sz w:val="24"/>
                <w:szCs w:val="24"/>
                <w:lang w:eastAsia="zh-CN"/>
              </w:rPr>
              <w:t>有利于提高教育资源统筹使用效益，增强学位供给与人口变化、城镇化趋势的适配度。</w:t>
            </w:r>
          </w:p>
        </w:tc>
        <w:tc>
          <w:tcPr>
            <w:tcW w:w="3944" w:type="dxa"/>
            <w:noWrap w:val="0"/>
            <w:vAlign w:val="center"/>
          </w:tcPr>
          <w:p w14:paraId="1114D24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构建学龄人口变化监测和学位供给预警机制；研究基础教育资源跨学段动态调整、余缺调配和闲置校舍统筹利用路径，扩大学龄人口净流入城镇学位供给；研究“普通高中学位建设攻坚行动”和高等教育扩学位“迎峰计划”实施路径；完善中小学校编制岗位动态调整和校长教师统筹调配机制；提出教育资源前瞻布局的政策建议。</w:t>
            </w:r>
          </w:p>
        </w:tc>
        <w:tc>
          <w:tcPr>
            <w:tcW w:w="1499" w:type="dxa"/>
            <w:noWrap w:val="0"/>
            <w:vAlign w:val="center"/>
          </w:tcPr>
          <w:p w14:paraId="6BDF0AFE">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020-37627067</w:t>
            </w:r>
          </w:p>
        </w:tc>
        <w:tc>
          <w:tcPr>
            <w:tcW w:w="1477" w:type="dxa"/>
            <w:vMerge w:val="restart"/>
            <w:noWrap w:val="0"/>
            <w:vAlign w:val="center"/>
          </w:tcPr>
          <w:p w14:paraId="09585098">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发展规划处</w:t>
            </w:r>
          </w:p>
        </w:tc>
      </w:tr>
      <w:tr w14:paraId="3E22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BB997C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29</w:t>
            </w:r>
          </w:p>
        </w:tc>
        <w:tc>
          <w:tcPr>
            <w:tcW w:w="2440" w:type="dxa"/>
            <w:noWrap w:val="0"/>
            <w:vAlign w:val="center"/>
          </w:tcPr>
          <w:p w14:paraId="15DFD12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高等教育结构布局优化与院校设置研究</w:t>
            </w:r>
          </w:p>
        </w:tc>
        <w:tc>
          <w:tcPr>
            <w:tcW w:w="4454" w:type="dxa"/>
            <w:noWrap w:val="0"/>
            <w:vAlign w:val="center"/>
          </w:tcPr>
          <w:p w14:paraId="04D4C74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优化高等教育布局是教育强国建设的基础性工作。广东高校数量和在校生规模居全国前列，但区域、类型结构仍不均衡。</w:t>
            </w:r>
            <w:r>
              <w:rPr>
                <w:rFonts w:hint="eastAsia" w:ascii="仿宋_GB2312" w:hAnsi="仿宋_GB2312" w:eastAsia="仿宋_GB2312" w:cs="仿宋_GB2312"/>
                <w:kern w:val="2"/>
                <w:sz w:val="24"/>
                <w:szCs w:val="24"/>
                <w:lang w:val="en-US" w:eastAsia="zh-CN"/>
              </w:rPr>
              <w:t>研究</w:t>
            </w:r>
            <w:r>
              <w:rPr>
                <w:rFonts w:hint="eastAsia" w:ascii="仿宋_GB2312" w:hAnsi="仿宋_GB2312" w:eastAsia="仿宋_GB2312" w:cs="仿宋_GB2312"/>
                <w:kern w:val="2"/>
                <w:sz w:val="24"/>
                <w:szCs w:val="24"/>
                <w:lang w:eastAsia="zh-CN"/>
              </w:rPr>
              <w:t>可为编制广东“十五五”高校设置规划、优化高等教育布局提供直接支撑。</w:t>
            </w:r>
          </w:p>
        </w:tc>
        <w:tc>
          <w:tcPr>
            <w:tcW w:w="3944" w:type="dxa"/>
            <w:noWrap w:val="0"/>
            <w:vAlign w:val="center"/>
          </w:tcPr>
          <w:p w14:paraId="38181CF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落实打造世界区域性高等教育中心战略任务，推动高校布局与国家战略需求、区域经济社会发展、城市空间布局有效匹配。分析广东高校在数量、类型、层次、区域分布上的现状及与人口、产业布局的匹配情况；对照国家高校设置政策和标准，研判“十五五”时期广东高校设置需求与空间；研究新设、升格、更名等不同类型设置的路径与条件；提出“十五五”时期高等教育结构优化的目标、重点和政策举措。</w:t>
            </w:r>
          </w:p>
        </w:tc>
        <w:tc>
          <w:tcPr>
            <w:tcW w:w="1499" w:type="dxa"/>
            <w:noWrap w:val="0"/>
            <w:vAlign w:val="center"/>
          </w:tcPr>
          <w:p w14:paraId="562B313C">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020-87304926</w:t>
            </w:r>
          </w:p>
        </w:tc>
        <w:tc>
          <w:tcPr>
            <w:tcW w:w="1477" w:type="dxa"/>
            <w:vMerge w:val="continue"/>
            <w:noWrap w:val="0"/>
            <w:vAlign w:val="center"/>
          </w:tcPr>
          <w:p w14:paraId="2E96D63D">
            <w:pPr>
              <w:autoSpaceDE/>
              <w:autoSpaceDN/>
              <w:spacing w:line="0" w:lineRule="atLeast"/>
              <w:jc w:val="center"/>
              <w:rPr>
                <w:rFonts w:hint="eastAsia" w:ascii="仿宋_GB2312" w:hAnsi="仿宋_GB2312" w:eastAsia="仿宋_GB2312" w:cs="仿宋_GB2312"/>
                <w:kern w:val="2"/>
                <w:sz w:val="24"/>
                <w:szCs w:val="24"/>
                <w:lang w:eastAsia="zh-CN"/>
              </w:rPr>
            </w:pPr>
          </w:p>
        </w:tc>
      </w:tr>
      <w:tr w14:paraId="03B6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B973B6D">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30</w:t>
            </w:r>
          </w:p>
        </w:tc>
        <w:tc>
          <w:tcPr>
            <w:tcW w:w="2440" w:type="dxa"/>
            <w:noWrap w:val="0"/>
            <w:vAlign w:val="center"/>
          </w:tcPr>
          <w:p w14:paraId="2A20F3B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粤港澳联合培养研究生专项计划实施与大湾区高层次人才培育研究</w:t>
            </w:r>
          </w:p>
        </w:tc>
        <w:tc>
          <w:tcPr>
            <w:tcW w:w="4454" w:type="dxa"/>
            <w:noWrap w:val="0"/>
            <w:vAlign w:val="center"/>
          </w:tcPr>
          <w:p w14:paraId="528C96D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粤港澳联合培养研究生专项计划是深化三地教育合作、协同培育高层次人才的重要载体。</w:t>
            </w:r>
            <w:r>
              <w:rPr>
                <w:rFonts w:hint="eastAsia" w:ascii="仿宋_GB2312" w:hAnsi="仿宋_GB2312" w:eastAsia="仿宋_GB2312" w:cs="仿宋_GB2312"/>
                <w:kern w:val="2"/>
                <w:sz w:val="24"/>
                <w:szCs w:val="24"/>
                <w:lang w:val="en-US" w:eastAsia="zh-CN"/>
              </w:rPr>
              <w:t>研究</w:t>
            </w:r>
            <w:r>
              <w:rPr>
                <w:rFonts w:hint="eastAsia" w:ascii="仿宋_GB2312" w:hAnsi="仿宋_GB2312" w:eastAsia="仿宋_GB2312" w:cs="仿宋_GB2312"/>
                <w:kern w:val="2"/>
                <w:sz w:val="24"/>
                <w:szCs w:val="24"/>
                <w:lang w:eastAsia="zh-CN"/>
              </w:rPr>
              <w:t>有利于完善专项计划育人机制、提升研究生培养质量，为粤港澳大湾区高水平人才高地建设提供支撑。</w:t>
            </w:r>
          </w:p>
        </w:tc>
        <w:tc>
          <w:tcPr>
            <w:tcW w:w="3944" w:type="dxa"/>
            <w:noWrap w:val="0"/>
            <w:vAlign w:val="center"/>
          </w:tcPr>
          <w:p w14:paraId="77F012C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粤港澳联合培养研究生专项计划实施以来的招生规模、培养模式与育人成效；调研联合招生、双导师指导、课程共建互认、科研协同、实践锻炼等环节的运行情况；分析制约人才培养质量提升的短板；借鉴境内外经验，提出完善专项计划育人机制、提升联合培养质量的对策建议。</w:t>
            </w:r>
          </w:p>
        </w:tc>
        <w:tc>
          <w:tcPr>
            <w:tcW w:w="1499" w:type="dxa"/>
            <w:noWrap w:val="0"/>
            <w:vAlign w:val="center"/>
          </w:tcPr>
          <w:p w14:paraId="09BE73B6">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020-37627067</w:t>
            </w:r>
          </w:p>
        </w:tc>
        <w:tc>
          <w:tcPr>
            <w:tcW w:w="1477" w:type="dxa"/>
            <w:vMerge w:val="continue"/>
            <w:noWrap w:val="0"/>
            <w:vAlign w:val="center"/>
          </w:tcPr>
          <w:p w14:paraId="139933EC">
            <w:pPr>
              <w:autoSpaceDE/>
              <w:autoSpaceDN/>
              <w:spacing w:line="0" w:lineRule="atLeast"/>
              <w:jc w:val="center"/>
              <w:rPr>
                <w:rFonts w:hint="eastAsia" w:ascii="仿宋_GB2312" w:hAnsi="仿宋_GB2312" w:eastAsia="仿宋_GB2312" w:cs="仿宋_GB2312"/>
                <w:kern w:val="2"/>
                <w:sz w:val="24"/>
                <w:szCs w:val="24"/>
                <w:lang w:eastAsia="zh-CN"/>
              </w:rPr>
            </w:pPr>
          </w:p>
        </w:tc>
      </w:tr>
      <w:tr w14:paraId="58C5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0E97A08">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31</w:t>
            </w:r>
          </w:p>
        </w:tc>
        <w:tc>
          <w:tcPr>
            <w:tcW w:w="2440" w:type="dxa"/>
            <w:noWrap w:val="0"/>
            <w:vAlign w:val="center"/>
          </w:tcPr>
          <w:p w14:paraId="65083FB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总体国家安全观视域下广东大中小学国家安全教育一体化教学资源库建设研究</w:t>
            </w:r>
          </w:p>
        </w:tc>
        <w:tc>
          <w:tcPr>
            <w:tcW w:w="4454" w:type="dxa"/>
            <w:noWrap w:val="0"/>
            <w:vAlign w:val="center"/>
          </w:tcPr>
          <w:p w14:paraId="7F29F28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部《大中小学国家安全教育指导纲要》要求形成纵向衔接、横向配合的教育格局。当前我省各学段国家安全教育资源分散、衔接不畅，建设省级统一资源库是推动安全教育规范化、体系化的基础工程，对提升全省国家安全教育质量具有重要意义。</w:t>
            </w:r>
          </w:p>
        </w:tc>
        <w:tc>
          <w:tcPr>
            <w:tcW w:w="3944" w:type="dxa"/>
            <w:noWrap w:val="0"/>
            <w:vAlign w:val="center"/>
          </w:tcPr>
          <w:p w14:paraId="68BE2A0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调研广东各学段国家安全教育教学资源现状与需求缺口；研究省级教学资源库架构设计与学段衔接标准；设计资源共建共享与动态更新机制；选取若干地市和高校开展应用试点，形成面向全省的推广方案与政策建议。</w:t>
            </w:r>
          </w:p>
        </w:tc>
        <w:tc>
          <w:tcPr>
            <w:tcW w:w="1499" w:type="dxa"/>
            <w:vMerge w:val="restart"/>
            <w:noWrap w:val="0"/>
            <w:vAlign w:val="center"/>
          </w:tcPr>
          <w:p w14:paraId="5EAB4E1A">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020-37620024</w:t>
            </w:r>
          </w:p>
        </w:tc>
        <w:tc>
          <w:tcPr>
            <w:tcW w:w="1477" w:type="dxa"/>
            <w:vMerge w:val="restart"/>
            <w:noWrap w:val="0"/>
            <w:vAlign w:val="center"/>
          </w:tcPr>
          <w:p w14:paraId="36837952">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安全保卫处</w:t>
            </w:r>
          </w:p>
        </w:tc>
      </w:tr>
      <w:tr w14:paraId="3E1D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BA0E457">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32</w:t>
            </w:r>
          </w:p>
        </w:tc>
        <w:tc>
          <w:tcPr>
            <w:tcW w:w="2440" w:type="dxa"/>
            <w:noWrap w:val="0"/>
            <w:vAlign w:val="center"/>
          </w:tcPr>
          <w:p w14:paraId="30743DD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校园安全事件家校矛盾预防与多元化解路径研究</w:t>
            </w:r>
          </w:p>
        </w:tc>
        <w:tc>
          <w:tcPr>
            <w:tcW w:w="4454" w:type="dxa"/>
            <w:noWrap w:val="0"/>
            <w:vAlign w:val="center"/>
          </w:tcPr>
          <w:p w14:paraId="46C8199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当前，国家四部门已明确将家校协同纳入校园欺凌防治长效机制，《广东省学校安全条例》确立了家校联系制度框架，《中小学幼儿园安全指南》更首次将校园伤害矛盾纠纷调处机制与法律顾问制度纳入学校安全管理制度体系，这意味着家校矛盾预防与化解已从“倡导性要求”升级为“规范性底线”。研究聚焦校园安全事件中的家校矛盾，有助于填补现有制度在具体操作规范上的空白，切实提升基层学校的实操能力，也能为教育行政部门完善家校协同治理机制提供具有参考价值的决策依据。</w:t>
            </w:r>
          </w:p>
        </w:tc>
        <w:tc>
          <w:tcPr>
            <w:tcW w:w="3944" w:type="dxa"/>
            <w:noWrap w:val="0"/>
            <w:vAlign w:val="center"/>
          </w:tcPr>
          <w:p w14:paraId="74C6F0A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依据《广东省学校安全条例》关于家校联系制度和定期听取家长意见的规定，结合四部门部署关于深化家校协同和理性处理矛盾纠纷的要求，研发首次接触、信息通报、协商调解、善后修复四阶段标准化操作流程，设计法律顾问参与家校矛盾化解的介入节点与工作规范，开发典型场景的矛盾化解操作卡，形成家校沟通中的信息通报清单和责任认定说明模板。</w:t>
            </w:r>
          </w:p>
        </w:tc>
        <w:tc>
          <w:tcPr>
            <w:tcW w:w="1499" w:type="dxa"/>
            <w:vMerge w:val="continue"/>
            <w:noWrap w:val="0"/>
            <w:vAlign w:val="center"/>
          </w:tcPr>
          <w:p w14:paraId="11462A1E">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01F5D597">
            <w:pPr>
              <w:autoSpaceDE/>
              <w:autoSpaceDN/>
              <w:spacing w:line="0" w:lineRule="atLeast"/>
              <w:jc w:val="center"/>
              <w:rPr>
                <w:rFonts w:hint="eastAsia" w:ascii="仿宋_GB2312" w:hAnsi="仿宋_GB2312" w:eastAsia="仿宋_GB2312" w:cs="仿宋_GB2312"/>
                <w:kern w:val="2"/>
                <w:sz w:val="24"/>
                <w:szCs w:val="24"/>
                <w:lang w:eastAsia="zh-CN"/>
              </w:rPr>
            </w:pPr>
          </w:p>
        </w:tc>
      </w:tr>
      <w:tr w14:paraId="59F8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D9990B5">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33</w:t>
            </w:r>
          </w:p>
        </w:tc>
        <w:tc>
          <w:tcPr>
            <w:tcW w:w="2440" w:type="dxa"/>
            <w:noWrap w:val="0"/>
            <w:vAlign w:val="center"/>
          </w:tcPr>
          <w:p w14:paraId="2E237A7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安全教育课程化与行为矫正研究</w:t>
            </w:r>
          </w:p>
        </w:tc>
        <w:tc>
          <w:tcPr>
            <w:tcW w:w="4454" w:type="dxa"/>
            <w:noWrap w:val="0"/>
            <w:vAlign w:val="center"/>
          </w:tcPr>
          <w:p w14:paraId="4712156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当前校园安全形势复杂，安全教育碎片化、知行脱节问题突出。研究推动安全教育课程化，探索行为矫正机制，促进安全知识向行为转化，提升学生安全素养与学校安全治理效能，为省级安全教育政策提供参考。</w:t>
            </w:r>
          </w:p>
        </w:tc>
        <w:tc>
          <w:tcPr>
            <w:tcW w:w="3944" w:type="dxa"/>
            <w:noWrap w:val="0"/>
            <w:vAlign w:val="center"/>
          </w:tcPr>
          <w:p w14:paraId="748F807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界定安全教育课程化内涵与实践标准，构建适配育人需求的课程目标、分层分类内容模块及可落地多元实施路径。研判大学生各类安全行为问题，深挖成因，依托课程载体设计干预举措与可操作的行为矫正方案。搭建过程与结果相结合的多维综合评价体系，开展实证研究，凝练可复制、可推广的安全教育课程化及学生安全行为矫正模式。</w:t>
            </w:r>
          </w:p>
        </w:tc>
        <w:tc>
          <w:tcPr>
            <w:tcW w:w="1499" w:type="dxa"/>
            <w:vMerge w:val="continue"/>
            <w:noWrap w:val="0"/>
            <w:vAlign w:val="center"/>
          </w:tcPr>
          <w:p w14:paraId="487B5E4D">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3A7D1AB0">
            <w:pPr>
              <w:autoSpaceDE/>
              <w:autoSpaceDN/>
              <w:spacing w:line="0" w:lineRule="atLeast"/>
              <w:jc w:val="center"/>
              <w:rPr>
                <w:rFonts w:hint="eastAsia" w:ascii="仿宋_GB2312" w:hAnsi="仿宋_GB2312" w:eastAsia="仿宋_GB2312" w:cs="仿宋_GB2312"/>
                <w:kern w:val="2"/>
                <w:sz w:val="24"/>
                <w:szCs w:val="24"/>
                <w:lang w:eastAsia="zh-CN"/>
              </w:rPr>
            </w:pPr>
          </w:p>
        </w:tc>
      </w:tr>
      <w:tr w14:paraId="5DFB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9169CC1">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34</w:t>
            </w:r>
          </w:p>
        </w:tc>
        <w:tc>
          <w:tcPr>
            <w:tcW w:w="2440" w:type="dxa"/>
            <w:noWrap w:val="0"/>
            <w:vAlign w:val="center"/>
          </w:tcPr>
          <w:p w14:paraId="508E3D2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全面加强和改进高校体育工作</w:t>
            </w:r>
          </w:p>
        </w:tc>
        <w:tc>
          <w:tcPr>
            <w:tcW w:w="4454" w:type="dxa"/>
            <w:noWrap w:val="0"/>
            <w:vAlign w:val="center"/>
          </w:tcPr>
          <w:p w14:paraId="32303D8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2025年，教育部等五部门联合印发《关于实施学生体质强健计划的意见》，对切实增强学生体质，促进学生身心健康进行了系统部署，并提出实施大学生体质提升专项行动，“一校一策”改善学生体质健康状况。2026年，教育部办公厅印发《关于实施大学生体质提升专项行动的通知》，要求各地各高校“一校一策”制定专项行动方案，全面加强和改进高校体育工作。。</w:t>
            </w:r>
            <w:r>
              <w:rPr>
                <w:rFonts w:hint="eastAsia" w:ascii="仿宋_GB2312" w:hAnsi="仿宋_GB2312" w:eastAsia="仿宋_GB2312" w:cs="仿宋_GB2312"/>
                <w:kern w:val="2"/>
                <w:sz w:val="24"/>
                <w:szCs w:val="24"/>
                <w:lang w:val="en-US" w:eastAsia="zh-CN"/>
              </w:rPr>
              <w:t>选题</w:t>
            </w:r>
            <w:r>
              <w:rPr>
                <w:rFonts w:hint="eastAsia" w:ascii="仿宋_GB2312" w:hAnsi="仿宋_GB2312" w:eastAsia="仿宋_GB2312" w:cs="仿宋_GB2312"/>
                <w:kern w:val="2"/>
                <w:sz w:val="24"/>
                <w:szCs w:val="24"/>
                <w:lang w:eastAsia="zh-CN"/>
              </w:rPr>
              <w:t>旨在探索符合广东实际、彰显岭南特色的体质提升路径，为落实“一校一策”、推动高校体育工作高质量发展提供可操作的本土化方案与决策参考。</w:t>
            </w:r>
          </w:p>
        </w:tc>
        <w:tc>
          <w:tcPr>
            <w:tcW w:w="3944" w:type="dxa"/>
            <w:noWrap w:val="0"/>
            <w:vAlign w:val="center"/>
          </w:tcPr>
          <w:p w14:paraId="2F126C8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根据国家实施学生体质强健计划和大学生体质提升专项行动的要求，以及我省开展的“大学生每天阳光体育活动不少于一小时试点”工作，结合高校办学层次、学科特色、生源结构、地域文化等不同实际，打破传统路径依赖，在课程重构、活动创新、评价改革、文化培育、保障机制等方面创新探索，构建符合广东高校实际、彰显岭南特色的大学生体质提升之路，激发高校创新活力与改革自觉，不断提升体育教育教学质量，推动高校体育工作高质量发展。</w:t>
            </w:r>
          </w:p>
        </w:tc>
        <w:tc>
          <w:tcPr>
            <w:tcW w:w="1499" w:type="dxa"/>
            <w:vMerge w:val="restart"/>
            <w:noWrap w:val="0"/>
            <w:vAlign w:val="center"/>
          </w:tcPr>
          <w:p w14:paraId="63C15397">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020-37626353</w:t>
            </w:r>
          </w:p>
        </w:tc>
        <w:tc>
          <w:tcPr>
            <w:tcW w:w="1477" w:type="dxa"/>
            <w:vMerge w:val="restart"/>
            <w:noWrap w:val="0"/>
            <w:vAlign w:val="center"/>
          </w:tcPr>
          <w:p w14:paraId="584C3026">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sz w:val="24"/>
                <w:szCs w:val="24"/>
                <w:lang w:eastAsia="zh-CN"/>
              </w:rPr>
              <w:t>体育卫生与艺术教育处</w:t>
            </w:r>
          </w:p>
        </w:tc>
      </w:tr>
      <w:tr w14:paraId="222E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1B8421E">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35</w:t>
            </w:r>
          </w:p>
        </w:tc>
        <w:tc>
          <w:tcPr>
            <w:tcW w:w="2440" w:type="dxa"/>
            <w:noWrap w:val="0"/>
            <w:vAlign w:val="center"/>
          </w:tcPr>
          <w:p w14:paraId="34676A2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加强四级校园足球竞赛体系建设</w:t>
            </w:r>
          </w:p>
        </w:tc>
        <w:tc>
          <w:tcPr>
            <w:tcW w:w="4454" w:type="dxa"/>
            <w:noWrap w:val="0"/>
            <w:vAlign w:val="center"/>
          </w:tcPr>
          <w:p w14:paraId="32EECAD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贯彻落实《教育强国建设规划纲要（2024—2035 年）》《教育部等七部门关于加强和改进新时代青少年校园足球工作的实施意见》精神，加强和改进新时代校园足球工作，进一步完善校园足球赛事体系，推进校园足球健康持续高质量发展。</w:t>
            </w:r>
          </w:p>
        </w:tc>
        <w:tc>
          <w:tcPr>
            <w:tcW w:w="3944" w:type="dxa"/>
            <w:noWrap w:val="0"/>
            <w:vAlign w:val="center"/>
          </w:tcPr>
          <w:p w14:paraId="3C3782D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贯彻落实《全国青少年校园足球四级联赛组织管理办法（试行）》要求，完善我省青少年校园足球竞赛体系，构建体系完整、学段衔接、赛制稳定、管理规范的联赛体系，强化联赛组织管理，严肃赛风赛纪，营造风清气正的校园足球竞赛环境。</w:t>
            </w:r>
          </w:p>
        </w:tc>
        <w:tc>
          <w:tcPr>
            <w:tcW w:w="1499" w:type="dxa"/>
            <w:vMerge w:val="continue"/>
            <w:noWrap w:val="0"/>
            <w:vAlign w:val="center"/>
          </w:tcPr>
          <w:p w14:paraId="7C548D71">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73F06950">
            <w:pPr>
              <w:autoSpaceDE/>
              <w:autoSpaceDN/>
              <w:spacing w:line="0" w:lineRule="atLeast"/>
              <w:jc w:val="center"/>
              <w:rPr>
                <w:rFonts w:hint="eastAsia" w:ascii="仿宋_GB2312" w:hAnsi="仿宋_GB2312" w:eastAsia="仿宋_GB2312" w:cs="仿宋_GB2312"/>
                <w:kern w:val="2"/>
                <w:sz w:val="24"/>
                <w:szCs w:val="24"/>
                <w:lang w:eastAsia="zh-CN"/>
              </w:rPr>
            </w:pPr>
          </w:p>
        </w:tc>
      </w:tr>
      <w:tr w14:paraId="0A03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E9B51DD">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36</w:t>
            </w:r>
          </w:p>
        </w:tc>
        <w:tc>
          <w:tcPr>
            <w:tcW w:w="2440" w:type="dxa"/>
            <w:noWrap w:val="0"/>
            <w:vAlign w:val="center"/>
          </w:tcPr>
          <w:p w14:paraId="5E5869C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AI赋能美育课程教法研究</w:t>
            </w:r>
          </w:p>
        </w:tc>
        <w:tc>
          <w:tcPr>
            <w:tcW w:w="4454" w:type="dxa"/>
            <w:noWrap w:val="0"/>
            <w:vAlign w:val="center"/>
          </w:tcPr>
          <w:p w14:paraId="133A3EF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贯彻落实教育部《关于全面实施学校美育浸润行动的通知》《“人工智能+教育” 行动计划》的要求，针对美育课程教法滞后、数字环境下审美辨识能力有待提升等现实问题，探索AI赋能浸润式美育课程教学路径，助力广东学校美育教学提质，为数智化落地美育浸润行动提供广东实践样本。</w:t>
            </w:r>
          </w:p>
        </w:tc>
        <w:tc>
          <w:tcPr>
            <w:tcW w:w="3944" w:type="dxa"/>
            <w:noWrap w:val="0"/>
            <w:vAlign w:val="center"/>
          </w:tcPr>
          <w:p w14:paraId="3331D61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紧扣全面实施学校美育浸润行动教学改革与数智慧赋能要求，梳理AI 赋能浸润式美育课程教法现实堵点；探究人机协同课堂实施模式，研究生成式AI、沉浸式技术在艺术鉴赏、创作课堂的应用策略，厘清AI工具应用边界；建构适配AI赋能美育教法的范式。</w:t>
            </w:r>
          </w:p>
        </w:tc>
        <w:tc>
          <w:tcPr>
            <w:tcW w:w="1499" w:type="dxa"/>
            <w:noWrap w:val="0"/>
            <w:vAlign w:val="center"/>
          </w:tcPr>
          <w:p w14:paraId="65EF8ED5">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020-37620026</w:t>
            </w:r>
          </w:p>
        </w:tc>
        <w:tc>
          <w:tcPr>
            <w:tcW w:w="1477" w:type="dxa"/>
            <w:vMerge w:val="continue"/>
            <w:noWrap w:val="0"/>
            <w:vAlign w:val="center"/>
          </w:tcPr>
          <w:p w14:paraId="09252A23">
            <w:pPr>
              <w:autoSpaceDE/>
              <w:autoSpaceDN/>
              <w:spacing w:line="0" w:lineRule="atLeast"/>
              <w:jc w:val="center"/>
              <w:rPr>
                <w:rFonts w:hint="eastAsia" w:ascii="仿宋_GB2312" w:hAnsi="仿宋_GB2312" w:eastAsia="仿宋_GB2312" w:cs="仿宋_GB2312"/>
                <w:kern w:val="2"/>
                <w:sz w:val="24"/>
                <w:szCs w:val="24"/>
                <w:lang w:eastAsia="zh-CN"/>
              </w:rPr>
            </w:pPr>
          </w:p>
        </w:tc>
      </w:tr>
      <w:tr w14:paraId="3A21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80E634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37</w:t>
            </w:r>
          </w:p>
        </w:tc>
        <w:tc>
          <w:tcPr>
            <w:tcW w:w="2440" w:type="dxa"/>
            <w:noWrap w:val="0"/>
            <w:vAlign w:val="center"/>
          </w:tcPr>
          <w:p w14:paraId="4D89ADE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广东省健康学校的建设模式和实践路径研究</w:t>
            </w:r>
          </w:p>
        </w:tc>
        <w:tc>
          <w:tcPr>
            <w:tcW w:w="4454" w:type="dxa"/>
            <w:noWrap w:val="0"/>
            <w:vAlign w:val="center"/>
          </w:tcPr>
          <w:p w14:paraId="0DD3A22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贯彻落实“健康第一”理念，聚焦我省学生健康和中小学生近视高发，心理健康问题日益凸显、建设健康学校标准不一、进展不平衡等问题，研究挖掘广东健康学校建设的有效模式和实施路径，为全面推进工作提供参考。</w:t>
            </w:r>
          </w:p>
        </w:tc>
        <w:tc>
          <w:tcPr>
            <w:tcW w:w="3944" w:type="dxa"/>
            <w:noWrap w:val="0"/>
            <w:vAlign w:val="center"/>
          </w:tcPr>
          <w:p w14:paraId="607A15A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调研各健康学校建设的基本情况，对照建设标准加强指导评价，摸清健康教育课程、健康服务、校园健康环境、家校社协同等建设情况，梳理困难和问题。构建涵盖组织管理、课程教学、健康服务、环境建设、协同机制等维度的建设模式，明确实施路径和评价指标，开展论证、试测和案例研究，形成评价、反馈改进闭环和省级实施策略建议。</w:t>
            </w:r>
          </w:p>
        </w:tc>
        <w:tc>
          <w:tcPr>
            <w:tcW w:w="1499" w:type="dxa"/>
            <w:noWrap w:val="0"/>
            <w:vAlign w:val="center"/>
          </w:tcPr>
          <w:p w14:paraId="58CF6ECA">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020-37626529</w:t>
            </w:r>
          </w:p>
        </w:tc>
        <w:tc>
          <w:tcPr>
            <w:tcW w:w="1477" w:type="dxa"/>
            <w:vMerge w:val="continue"/>
            <w:noWrap w:val="0"/>
            <w:vAlign w:val="center"/>
          </w:tcPr>
          <w:p w14:paraId="22B604F5">
            <w:pPr>
              <w:autoSpaceDE/>
              <w:autoSpaceDN/>
              <w:spacing w:line="0" w:lineRule="atLeast"/>
              <w:jc w:val="center"/>
              <w:rPr>
                <w:rFonts w:hint="eastAsia" w:ascii="仿宋_GB2312" w:hAnsi="仿宋_GB2312" w:eastAsia="仿宋_GB2312" w:cs="仿宋_GB2312"/>
                <w:kern w:val="2"/>
                <w:sz w:val="24"/>
                <w:szCs w:val="24"/>
                <w:lang w:eastAsia="zh-CN"/>
              </w:rPr>
            </w:pPr>
          </w:p>
        </w:tc>
      </w:tr>
      <w:tr w14:paraId="4AB3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0636150">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38</w:t>
            </w:r>
          </w:p>
        </w:tc>
        <w:tc>
          <w:tcPr>
            <w:tcW w:w="2440" w:type="dxa"/>
            <w:noWrap w:val="0"/>
            <w:vAlign w:val="center"/>
          </w:tcPr>
          <w:p w14:paraId="1E46638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广东省推进国防教育大中小学一体化实施路径研究</w:t>
            </w:r>
          </w:p>
        </w:tc>
        <w:tc>
          <w:tcPr>
            <w:tcW w:w="4454" w:type="dxa"/>
            <w:noWrap w:val="0"/>
            <w:vAlign w:val="center"/>
          </w:tcPr>
          <w:p w14:paraId="32255E2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针对广东省大中小学国防教育学段割裂、内容断层、育人脱节等问题，构建一体化育人体系，有助于遵循青少年成长规律衔接各学段国防教育，夯实国防育人根基，为国防教育常态化、系统化、高质量发展提供实践参考。</w:t>
            </w:r>
          </w:p>
        </w:tc>
        <w:tc>
          <w:tcPr>
            <w:tcW w:w="3944" w:type="dxa"/>
            <w:noWrap w:val="0"/>
            <w:vAlign w:val="center"/>
          </w:tcPr>
          <w:p w14:paraId="58CCB40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大中小学国防教育现状，聚焦学段衔接不畅、内容梯度不足、资源分散、保障薄弱等突出问题。依据学段学生认知特点，确立小学启蒙、中学了解、高校深化的育人体系，搭建阶梯式国防教育内容框架。结合广东区域特点，探索学段联动、资源整合、多方协同、多元评价的一体化实施路径，构建适配本地落地推广的国防教育育人模式。</w:t>
            </w:r>
          </w:p>
        </w:tc>
        <w:tc>
          <w:tcPr>
            <w:tcW w:w="1499" w:type="dxa"/>
            <w:noWrap w:val="0"/>
            <w:vAlign w:val="center"/>
          </w:tcPr>
          <w:p w14:paraId="48070336">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020-37627055</w:t>
            </w:r>
          </w:p>
        </w:tc>
        <w:tc>
          <w:tcPr>
            <w:tcW w:w="1477" w:type="dxa"/>
            <w:vMerge w:val="continue"/>
            <w:noWrap w:val="0"/>
            <w:vAlign w:val="center"/>
          </w:tcPr>
          <w:p w14:paraId="32C97F15">
            <w:pPr>
              <w:autoSpaceDE/>
              <w:autoSpaceDN/>
              <w:spacing w:line="0" w:lineRule="atLeast"/>
              <w:jc w:val="center"/>
              <w:rPr>
                <w:rFonts w:hint="eastAsia" w:ascii="仿宋_GB2312" w:hAnsi="仿宋_GB2312" w:eastAsia="仿宋_GB2312" w:cs="仿宋_GB2312"/>
                <w:kern w:val="2"/>
                <w:sz w:val="24"/>
                <w:szCs w:val="24"/>
                <w:lang w:eastAsia="zh-CN"/>
              </w:rPr>
            </w:pPr>
          </w:p>
        </w:tc>
      </w:tr>
      <w:tr w14:paraId="7C0B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96690AD">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39</w:t>
            </w:r>
          </w:p>
        </w:tc>
        <w:tc>
          <w:tcPr>
            <w:tcW w:w="2440" w:type="dxa"/>
            <w:noWrap w:val="0"/>
            <w:vAlign w:val="center"/>
          </w:tcPr>
          <w:p w14:paraId="36DB5DB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基础教育多元来源教师队伍的差异化培养体系研究</w:t>
            </w:r>
          </w:p>
        </w:tc>
        <w:tc>
          <w:tcPr>
            <w:tcW w:w="4454" w:type="dxa"/>
            <w:noWrap w:val="0"/>
            <w:vAlign w:val="center"/>
          </w:tcPr>
          <w:p w14:paraId="664CEA9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师来源日益多元，师范高校、综合性大学、校地联合培养等背景差异显著。厘清不同来源教师的能力特征与发展诉求，破解培养同质化问题，对实施“新强师工程”、建强基础教育教师专业发展支持体系具有重要现实价值。</w:t>
            </w:r>
          </w:p>
        </w:tc>
        <w:tc>
          <w:tcPr>
            <w:tcW w:w="3944" w:type="dxa"/>
            <w:noWrap w:val="0"/>
            <w:vAlign w:val="center"/>
          </w:tcPr>
          <w:p w14:paraId="411B7FC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系统梳理我省多元来源教师培养体系，厘清职前、职后、专项政策三类培养路径，对比不同类型教师在职业适应、教学能力、专业发展层面的差异；诊断当前教师职前职后培养衔接适配性，以及毕业生分别在珠三角地区与粤东西北地区任教的岗位适配性问题；设计差异化培养路径与评估工具；提出省级政策与学校实施建议。</w:t>
            </w:r>
          </w:p>
        </w:tc>
        <w:tc>
          <w:tcPr>
            <w:tcW w:w="1499" w:type="dxa"/>
            <w:noWrap w:val="0"/>
            <w:vAlign w:val="center"/>
          </w:tcPr>
          <w:p w14:paraId="49596043">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020-37629059</w:t>
            </w:r>
          </w:p>
        </w:tc>
        <w:tc>
          <w:tcPr>
            <w:tcW w:w="1477" w:type="dxa"/>
            <w:vMerge w:val="restart"/>
            <w:noWrap w:val="0"/>
            <w:vAlign w:val="center"/>
          </w:tcPr>
          <w:p w14:paraId="4CDDEAC1">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师资管理处</w:t>
            </w:r>
          </w:p>
        </w:tc>
      </w:tr>
      <w:tr w14:paraId="65A7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10C32A3">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40</w:t>
            </w:r>
          </w:p>
        </w:tc>
        <w:tc>
          <w:tcPr>
            <w:tcW w:w="2440" w:type="dxa"/>
            <w:noWrap w:val="0"/>
            <w:vAlign w:val="center"/>
          </w:tcPr>
          <w:p w14:paraId="65B64A0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健全师德师风建设长效机制研究</w:t>
            </w:r>
          </w:p>
        </w:tc>
        <w:tc>
          <w:tcPr>
            <w:tcW w:w="4454" w:type="dxa"/>
            <w:noWrap w:val="0"/>
            <w:vAlign w:val="center"/>
          </w:tcPr>
          <w:p w14:paraId="4F11C0F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师德师风是评价教师队伍素质的第一标准。中央教育工作领导小组秘书组印发了《关于健全新时代师德师风建设长效机制的意见》，省教育厅认真对标对表上级要求，研究拟制加强我省师德师风建设的制度体系。</w:t>
            </w:r>
          </w:p>
        </w:tc>
        <w:tc>
          <w:tcPr>
            <w:tcW w:w="3944" w:type="dxa"/>
            <w:noWrap w:val="0"/>
            <w:vAlign w:val="center"/>
          </w:tcPr>
          <w:p w14:paraId="6791540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1.针对当前教师教育惩戒边界不明晰的问题，部分教师存在“不敢管、不愿管、不会管”的现象，加强教育惩戒规则研究。</w:t>
            </w:r>
          </w:p>
          <w:p w14:paraId="4EF1F32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2.针对当前存在的对教师不实举报、过度举报、诬告乱告等现象，加强处理程序、处理方法、处理规则等方面研究，帮助教育部门、学校和教师个人增强应对能力。</w:t>
            </w:r>
          </w:p>
        </w:tc>
        <w:tc>
          <w:tcPr>
            <w:tcW w:w="1499" w:type="dxa"/>
            <w:noWrap w:val="0"/>
            <w:vAlign w:val="center"/>
          </w:tcPr>
          <w:p w14:paraId="765FF423">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020-37626935</w:t>
            </w:r>
          </w:p>
        </w:tc>
        <w:tc>
          <w:tcPr>
            <w:tcW w:w="1477" w:type="dxa"/>
            <w:vMerge w:val="continue"/>
            <w:noWrap w:val="0"/>
            <w:vAlign w:val="center"/>
          </w:tcPr>
          <w:p w14:paraId="1EAD6A28">
            <w:pPr>
              <w:autoSpaceDE/>
              <w:autoSpaceDN/>
              <w:spacing w:line="0" w:lineRule="atLeast"/>
              <w:jc w:val="center"/>
              <w:rPr>
                <w:rFonts w:hint="eastAsia" w:ascii="仿宋_GB2312" w:hAnsi="仿宋_GB2312" w:eastAsia="仿宋_GB2312" w:cs="仿宋_GB2312"/>
                <w:kern w:val="2"/>
                <w:sz w:val="24"/>
                <w:szCs w:val="24"/>
                <w:lang w:eastAsia="zh-CN"/>
              </w:rPr>
            </w:pPr>
          </w:p>
        </w:tc>
      </w:tr>
      <w:tr w14:paraId="78F3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7C6BB94">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41</w:t>
            </w:r>
          </w:p>
        </w:tc>
        <w:tc>
          <w:tcPr>
            <w:tcW w:w="2440" w:type="dxa"/>
            <w:noWrap w:val="0"/>
            <w:vAlign w:val="center"/>
          </w:tcPr>
          <w:p w14:paraId="712DC8A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职业教育“双师型”教师认定标准体系优化与政策供给研究</w:t>
            </w:r>
          </w:p>
        </w:tc>
        <w:tc>
          <w:tcPr>
            <w:tcW w:w="4454" w:type="dxa"/>
            <w:noWrap w:val="0"/>
            <w:vAlign w:val="center"/>
          </w:tcPr>
          <w:p w14:paraId="50B1538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国务院《教育发展“十五五”规划》要求提升职业教育“双师型”教师队伍建设水平。国家标准明确实行分级认定和5年周期复核。在新质生产力驱动下，进一步优化标准体系是落实国家规划、支撑职教高质量发展的重要工作。</w:t>
            </w:r>
          </w:p>
        </w:tc>
        <w:tc>
          <w:tcPr>
            <w:tcW w:w="3944" w:type="dxa"/>
            <w:noWrap w:val="0"/>
            <w:vAlign w:val="center"/>
          </w:tcPr>
          <w:p w14:paraId="38745A0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结合广东实际，在现有“双师型”教师认定标准基础上，进一步研究初级、中级、高级“双师型”教师的能力维度划分，并优化认定指标体系；明确将企业生产项目实践经历、技术攻关成果等纳入评价标准的具体办法；研究构建产业监测、能力预警、培训提升、标准更新的机制，提出完善政策供给的制度建议。</w:t>
            </w:r>
          </w:p>
        </w:tc>
        <w:tc>
          <w:tcPr>
            <w:tcW w:w="1499" w:type="dxa"/>
            <w:noWrap w:val="0"/>
            <w:vAlign w:val="center"/>
          </w:tcPr>
          <w:p w14:paraId="32F1BDF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020-37627116</w:t>
            </w:r>
          </w:p>
        </w:tc>
        <w:tc>
          <w:tcPr>
            <w:tcW w:w="1477" w:type="dxa"/>
            <w:vMerge w:val="continue"/>
            <w:noWrap w:val="0"/>
            <w:vAlign w:val="center"/>
          </w:tcPr>
          <w:p w14:paraId="30B6D37D">
            <w:pPr>
              <w:autoSpaceDE/>
              <w:autoSpaceDN/>
              <w:spacing w:line="0" w:lineRule="atLeast"/>
              <w:jc w:val="center"/>
              <w:rPr>
                <w:rFonts w:hint="eastAsia" w:ascii="仿宋_GB2312" w:hAnsi="仿宋_GB2312" w:eastAsia="仿宋_GB2312" w:cs="仿宋_GB2312"/>
                <w:kern w:val="2"/>
                <w:sz w:val="24"/>
                <w:szCs w:val="24"/>
                <w:lang w:eastAsia="zh-CN"/>
              </w:rPr>
            </w:pPr>
          </w:p>
        </w:tc>
      </w:tr>
      <w:tr w14:paraId="3210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C518F53">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42</w:t>
            </w:r>
          </w:p>
        </w:tc>
        <w:tc>
          <w:tcPr>
            <w:tcW w:w="2440" w:type="dxa"/>
            <w:noWrap w:val="0"/>
            <w:vAlign w:val="center"/>
          </w:tcPr>
          <w:p w14:paraId="0BDEAEF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高校中外合作办学党建工作体系构建及其实践路径研究</w:t>
            </w:r>
          </w:p>
        </w:tc>
        <w:tc>
          <w:tcPr>
            <w:tcW w:w="4454" w:type="dxa"/>
            <w:noWrap w:val="0"/>
            <w:vAlign w:val="center"/>
          </w:tcPr>
          <w:p w14:paraId="7614716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坚持以习近平新时代中国特色社会主义思想为指导，全面加强党的领导，积极探索符合合作办学特点的高校党建工作新模式、新路径。</w:t>
            </w:r>
          </w:p>
        </w:tc>
        <w:tc>
          <w:tcPr>
            <w:tcW w:w="3944" w:type="dxa"/>
            <w:noWrap w:val="0"/>
            <w:vAlign w:val="center"/>
          </w:tcPr>
          <w:p w14:paraId="6ECEE67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梳理上级主管部门对中外合作办学党建工作的有关要求，调研当前我省中外合作办学高校党建工作现状，针对存在的短板和弱项，提出中外合作办学党建工作体系构建与实践路径。</w:t>
            </w:r>
          </w:p>
        </w:tc>
        <w:tc>
          <w:tcPr>
            <w:tcW w:w="1499" w:type="dxa"/>
            <w:vMerge w:val="restart"/>
            <w:noWrap w:val="0"/>
            <w:vAlign w:val="center"/>
          </w:tcPr>
          <w:p w14:paraId="04A5FAD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020-37627553</w:t>
            </w:r>
          </w:p>
        </w:tc>
        <w:tc>
          <w:tcPr>
            <w:tcW w:w="1477" w:type="dxa"/>
            <w:vMerge w:val="restart"/>
            <w:noWrap w:val="0"/>
            <w:vAlign w:val="center"/>
          </w:tcPr>
          <w:p w14:paraId="2D1965F4">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组织处</w:t>
            </w:r>
          </w:p>
        </w:tc>
      </w:tr>
      <w:tr w14:paraId="5120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87A563C">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43</w:t>
            </w:r>
          </w:p>
        </w:tc>
        <w:tc>
          <w:tcPr>
            <w:tcW w:w="2440" w:type="dxa"/>
            <w:noWrap w:val="0"/>
            <w:vAlign w:val="center"/>
          </w:tcPr>
          <w:p w14:paraId="167793D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民办高校政府督导专员职责清单与履职保障机制研究</w:t>
            </w:r>
          </w:p>
        </w:tc>
        <w:tc>
          <w:tcPr>
            <w:tcW w:w="4454" w:type="dxa"/>
            <w:noWrap w:val="0"/>
            <w:vAlign w:val="center"/>
          </w:tcPr>
          <w:p w14:paraId="5BFE37D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进一步推动政府督导专员更好地履行职责，不断夯实民办高校办学治校政治根基，促进民办高校规范办学行为、提升办学质量，确保党的教育方针和党中央决策部署在民办高校得到全面贯彻落实。</w:t>
            </w:r>
          </w:p>
        </w:tc>
        <w:tc>
          <w:tcPr>
            <w:tcW w:w="3944" w:type="dxa"/>
            <w:noWrap w:val="0"/>
            <w:vAlign w:val="center"/>
          </w:tcPr>
          <w:p w14:paraId="4EE3C33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上级主管部门对民办高校督导专员的有关要求，聚焦党的建设与思想政治、发展规划、人事安排、法人治理结构建设、资产和财务管理、招生与教学、规范收费、安全稳定等方面提出民办高校政府督导专员职责清单与履职保障机制。</w:t>
            </w:r>
          </w:p>
        </w:tc>
        <w:tc>
          <w:tcPr>
            <w:tcW w:w="1499" w:type="dxa"/>
            <w:vMerge w:val="continue"/>
            <w:noWrap w:val="0"/>
            <w:vAlign w:val="center"/>
          </w:tcPr>
          <w:p w14:paraId="50F64B93">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2E9D5B34">
            <w:pPr>
              <w:autoSpaceDE/>
              <w:autoSpaceDN/>
              <w:spacing w:line="0" w:lineRule="atLeast"/>
              <w:jc w:val="center"/>
              <w:rPr>
                <w:rFonts w:hint="eastAsia" w:ascii="仿宋_GB2312" w:hAnsi="仿宋_GB2312" w:eastAsia="仿宋_GB2312" w:cs="仿宋_GB2312"/>
                <w:kern w:val="2"/>
                <w:sz w:val="24"/>
                <w:szCs w:val="24"/>
                <w:lang w:eastAsia="zh-CN"/>
              </w:rPr>
            </w:pPr>
          </w:p>
        </w:tc>
      </w:tr>
      <w:tr w14:paraId="4C22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838602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44</w:t>
            </w:r>
          </w:p>
        </w:tc>
        <w:tc>
          <w:tcPr>
            <w:tcW w:w="2440" w:type="dxa"/>
            <w:noWrap w:val="0"/>
            <w:vAlign w:val="center"/>
          </w:tcPr>
          <w:p w14:paraId="7692613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中小学党支部书记“双带头人”培育与教师党员“双培养”一体化机制研究</w:t>
            </w:r>
          </w:p>
        </w:tc>
        <w:tc>
          <w:tcPr>
            <w:tcW w:w="4454" w:type="dxa"/>
            <w:noWrap w:val="0"/>
            <w:vAlign w:val="center"/>
          </w:tcPr>
          <w:p w14:paraId="55FE0A1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加强中小学党的建设，发挥党支部书记“双带头人”作用，建强党支部战斗堡垒作用；建立教师党员“双培养”工作机制，彰显党员的先锋模范作用。</w:t>
            </w:r>
          </w:p>
        </w:tc>
        <w:tc>
          <w:tcPr>
            <w:tcW w:w="3944" w:type="dxa"/>
            <w:noWrap w:val="0"/>
            <w:vAlign w:val="center"/>
          </w:tcPr>
          <w:p w14:paraId="7C590E7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梳理上级主管部门有关文件，提出中小学党支部书记“双带头人”培育与教师党员“双培养”一体化实践路径。</w:t>
            </w:r>
          </w:p>
        </w:tc>
        <w:tc>
          <w:tcPr>
            <w:tcW w:w="1499" w:type="dxa"/>
            <w:vMerge w:val="continue"/>
            <w:noWrap w:val="0"/>
            <w:vAlign w:val="center"/>
          </w:tcPr>
          <w:p w14:paraId="67044EF1">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AA2E300">
            <w:pPr>
              <w:autoSpaceDE/>
              <w:autoSpaceDN/>
              <w:spacing w:line="0" w:lineRule="atLeast"/>
              <w:jc w:val="center"/>
              <w:rPr>
                <w:rFonts w:hint="eastAsia" w:ascii="仿宋_GB2312" w:hAnsi="仿宋_GB2312" w:eastAsia="仿宋_GB2312" w:cs="仿宋_GB2312"/>
                <w:kern w:val="2"/>
                <w:sz w:val="24"/>
                <w:szCs w:val="24"/>
                <w:lang w:eastAsia="zh-CN"/>
              </w:rPr>
            </w:pPr>
          </w:p>
        </w:tc>
      </w:tr>
      <w:tr w14:paraId="16B4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A03CDD6">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45</w:t>
            </w:r>
          </w:p>
        </w:tc>
        <w:tc>
          <w:tcPr>
            <w:tcW w:w="2440" w:type="dxa"/>
            <w:noWrap w:val="0"/>
            <w:vAlign w:val="center"/>
          </w:tcPr>
          <w:p w14:paraId="07C3401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广东高校食堂精细化管理与优化路径研究</w:t>
            </w:r>
          </w:p>
        </w:tc>
        <w:tc>
          <w:tcPr>
            <w:tcW w:w="4454" w:type="dxa"/>
            <w:noWrap w:val="0"/>
            <w:vAlign w:val="center"/>
          </w:tcPr>
          <w:p w14:paraId="4BAD890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有助于科学厘清食堂成本构成，提升后勤管理效能，保障餐饮服务质量与价格稳定，为高校食堂可持续运营及教育主管部门制定政策（如补贴、约束控制校园餐利润率不超过5%等）提供数据支撑与决策参考。</w:t>
            </w:r>
          </w:p>
        </w:tc>
        <w:tc>
          <w:tcPr>
            <w:tcW w:w="3944" w:type="dxa"/>
            <w:noWrap w:val="0"/>
            <w:vAlign w:val="center"/>
          </w:tcPr>
          <w:p w14:paraId="07EBF05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调研广东高校食堂成本结构，分析食材、人工、能耗等核心成本要素；构建标准化成本核算模型；以校园餐利润率不超过5%为约束边界，对比不同运营模式下的成本差异；提出降本增效与精细化管理对策建议。</w:t>
            </w:r>
          </w:p>
        </w:tc>
        <w:tc>
          <w:tcPr>
            <w:tcW w:w="1499" w:type="dxa"/>
            <w:vMerge w:val="restart"/>
            <w:noWrap w:val="0"/>
            <w:vAlign w:val="center"/>
          </w:tcPr>
          <w:p w14:paraId="76AC8F7C">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020-37627115</w:t>
            </w:r>
          </w:p>
        </w:tc>
        <w:tc>
          <w:tcPr>
            <w:tcW w:w="1477" w:type="dxa"/>
            <w:vMerge w:val="restart"/>
            <w:noWrap w:val="0"/>
            <w:vAlign w:val="center"/>
          </w:tcPr>
          <w:p w14:paraId="5C4173A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学校后勤管理处</w:t>
            </w:r>
          </w:p>
        </w:tc>
      </w:tr>
      <w:tr w14:paraId="0904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0C92D68">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46</w:t>
            </w:r>
          </w:p>
        </w:tc>
        <w:tc>
          <w:tcPr>
            <w:tcW w:w="2440" w:type="dxa"/>
            <w:noWrap w:val="0"/>
            <w:vAlign w:val="center"/>
          </w:tcPr>
          <w:p w14:paraId="02479AA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广东高校校园外卖规范管理与多方共治模式研究</w:t>
            </w:r>
          </w:p>
        </w:tc>
        <w:tc>
          <w:tcPr>
            <w:tcW w:w="4454" w:type="dxa"/>
            <w:noWrap w:val="0"/>
            <w:vAlign w:val="center"/>
          </w:tcPr>
          <w:p w14:paraId="1B79341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应对校园外卖扩张带来的安全与秩序挑战，平衡学生需求与校园管理，探索多方协同治理路径，营造安全有序的校园餐饮环境。</w:t>
            </w:r>
          </w:p>
        </w:tc>
        <w:tc>
          <w:tcPr>
            <w:tcW w:w="3944" w:type="dxa"/>
            <w:noWrap w:val="0"/>
            <w:vAlign w:val="center"/>
          </w:tcPr>
          <w:p w14:paraId="64B5DDC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调研我省高校外卖管理现状与突出问题；研究准入机制、配送站点设置与智能取餐柜布局；探索校方、平台、学生三方共治模式，形成规范化管理指引。</w:t>
            </w:r>
          </w:p>
        </w:tc>
        <w:tc>
          <w:tcPr>
            <w:tcW w:w="1499" w:type="dxa"/>
            <w:vMerge w:val="continue"/>
            <w:noWrap w:val="0"/>
            <w:vAlign w:val="center"/>
          </w:tcPr>
          <w:p w14:paraId="4E76B9F9">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1C6970E">
            <w:pPr>
              <w:autoSpaceDE/>
              <w:autoSpaceDN/>
              <w:spacing w:line="0" w:lineRule="atLeast"/>
              <w:jc w:val="center"/>
              <w:rPr>
                <w:rFonts w:hint="eastAsia" w:ascii="仿宋_GB2312" w:hAnsi="仿宋_GB2312" w:eastAsia="仿宋_GB2312" w:cs="仿宋_GB2312"/>
                <w:kern w:val="2"/>
                <w:sz w:val="24"/>
                <w:szCs w:val="24"/>
                <w:lang w:eastAsia="zh-CN"/>
              </w:rPr>
            </w:pPr>
          </w:p>
        </w:tc>
      </w:tr>
      <w:tr w14:paraId="0395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E4D1FF3">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47</w:t>
            </w:r>
          </w:p>
        </w:tc>
        <w:tc>
          <w:tcPr>
            <w:tcW w:w="2440" w:type="dxa"/>
            <w:noWrap w:val="0"/>
            <w:vAlign w:val="center"/>
          </w:tcPr>
          <w:p w14:paraId="54DF515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广东高校宿舍扩容多元路径与管理模式创新研究</w:t>
            </w:r>
          </w:p>
        </w:tc>
        <w:tc>
          <w:tcPr>
            <w:tcW w:w="4454" w:type="dxa"/>
            <w:noWrap w:val="0"/>
            <w:vAlign w:val="center"/>
          </w:tcPr>
          <w:p w14:paraId="36612D9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破解高校宿舍供给不足难题，探索校外租赁扩容路径，挖掘高校及社会存量房源潜力，提升资源利用效率，加快规范高校校外租赁宿舍规范管理，为“迎峰计划”落地提供决策参考。</w:t>
            </w:r>
          </w:p>
        </w:tc>
        <w:tc>
          <w:tcPr>
            <w:tcW w:w="3944" w:type="dxa"/>
            <w:noWrap w:val="0"/>
            <w:vAlign w:val="center"/>
          </w:tcPr>
          <w:p w14:paraId="617547F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调研我省高校宿舍缺口及现有扩容模式；研究政府统筹、校企合作、社会资本参与等投融资方案；比较不同扩容路径的成本效益与实施条件，探索建立更有针对性的宿舍管理规范，形成分类实施指南。</w:t>
            </w:r>
          </w:p>
        </w:tc>
        <w:tc>
          <w:tcPr>
            <w:tcW w:w="1499" w:type="dxa"/>
            <w:noWrap w:val="0"/>
            <w:vAlign w:val="center"/>
          </w:tcPr>
          <w:p w14:paraId="7A31C1ED">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020-37629529</w:t>
            </w:r>
          </w:p>
        </w:tc>
        <w:tc>
          <w:tcPr>
            <w:tcW w:w="1477" w:type="dxa"/>
            <w:vMerge w:val="continue"/>
            <w:noWrap w:val="0"/>
            <w:vAlign w:val="center"/>
          </w:tcPr>
          <w:p w14:paraId="0D0A86AA">
            <w:pPr>
              <w:autoSpaceDE/>
              <w:autoSpaceDN/>
              <w:spacing w:line="0" w:lineRule="atLeast"/>
              <w:jc w:val="center"/>
              <w:rPr>
                <w:rFonts w:hint="eastAsia" w:ascii="仿宋_GB2312" w:hAnsi="仿宋_GB2312" w:eastAsia="仿宋_GB2312" w:cs="仿宋_GB2312"/>
                <w:kern w:val="2"/>
                <w:sz w:val="24"/>
                <w:szCs w:val="24"/>
                <w:lang w:eastAsia="zh-CN"/>
              </w:rPr>
            </w:pPr>
          </w:p>
        </w:tc>
      </w:tr>
      <w:tr w14:paraId="4C0C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D96B210">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48</w:t>
            </w:r>
          </w:p>
        </w:tc>
        <w:tc>
          <w:tcPr>
            <w:tcW w:w="2440" w:type="dxa"/>
            <w:noWrap w:val="0"/>
            <w:vAlign w:val="center"/>
          </w:tcPr>
          <w:p w14:paraId="6AA676D0">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“双千”计划促就业微专业建设成效评估与实践研究</w:t>
            </w:r>
          </w:p>
        </w:tc>
        <w:tc>
          <w:tcPr>
            <w:tcW w:w="4454" w:type="dxa"/>
            <w:noWrap w:val="0"/>
            <w:vAlign w:val="center"/>
          </w:tcPr>
          <w:p w14:paraId="7E8F888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针对我省“双千”计划微专业建设暂无统一的就业导向评估标准、成效难以量化的问题，构建科学评估体系与量化指标，为微专业建设提质增效、提升毕业生就业适配度提供支撑，助力省级就业育人政策迭代完善。</w:t>
            </w:r>
          </w:p>
        </w:tc>
        <w:tc>
          <w:tcPr>
            <w:tcW w:w="3944" w:type="dxa"/>
            <w:noWrap w:val="0"/>
            <w:vAlign w:val="center"/>
          </w:tcPr>
          <w:p w14:paraId="51C9602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立足我省高校“双千”计划促就业微专业建设实践，系统梳理各校现有评估机制的突出短板，构建以促进就业为核心导向的多维度成效评估体系与量化指标，选取省内不同办学层次典型高校开展实证验证与优化，提出建设提质路径与政策建议，为提升毕业生就业适配度、完善省级就业育人政策提供支撑。</w:t>
            </w:r>
          </w:p>
        </w:tc>
        <w:tc>
          <w:tcPr>
            <w:tcW w:w="1499" w:type="dxa"/>
            <w:vMerge w:val="restart"/>
            <w:noWrap w:val="0"/>
            <w:vAlign w:val="center"/>
          </w:tcPr>
          <w:p w14:paraId="30C982FF">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020-37628926</w:t>
            </w:r>
          </w:p>
        </w:tc>
        <w:tc>
          <w:tcPr>
            <w:tcW w:w="1477" w:type="dxa"/>
            <w:vMerge w:val="restart"/>
            <w:noWrap w:val="0"/>
            <w:vAlign w:val="center"/>
          </w:tcPr>
          <w:p w14:paraId="46EFA557">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学生就业创业处</w:t>
            </w:r>
          </w:p>
        </w:tc>
      </w:tr>
      <w:tr w14:paraId="2E9A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D45E2CF">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49</w:t>
            </w:r>
          </w:p>
        </w:tc>
        <w:tc>
          <w:tcPr>
            <w:tcW w:w="2440" w:type="dxa"/>
            <w:noWrap w:val="0"/>
            <w:vAlign w:val="center"/>
          </w:tcPr>
          <w:p w14:paraId="788B8CE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“双千”计划职业能力培训课程建设、实施与质量评估研究</w:t>
            </w:r>
          </w:p>
        </w:tc>
        <w:tc>
          <w:tcPr>
            <w:tcW w:w="4454" w:type="dxa"/>
            <w:noWrap w:val="0"/>
            <w:vAlign w:val="center"/>
          </w:tcPr>
          <w:p w14:paraId="771947B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针对我省高校“双千”计划职业能力培训课程建设标准不一、质量管控薄弱等问题，构建全省统一的建设实施规范与全链条质量评估体系，形成建设实施指引与评估规范，助力高校提升培训实效，强化学生职业适配与就业能力。</w:t>
            </w:r>
          </w:p>
        </w:tc>
        <w:tc>
          <w:tcPr>
            <w:tcW w:w="3944" w:type="dxa"/>
            <w:noWrap w:val="0"/>
            <w:vAlign w:val="center"/>
          </w:tcPr>
          <w:p w14:paraId="08730CD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立足省级统筹视角，系统梳理职业能力培训课程建设现状与堵点痛点，研究课程分类建设标准、开发备案流程与教学实施规范，研制课程建设实施指引；构建覆盖准入、过程监管、评估反馈、动态调整的全链条质量保障体系与配套评估指标，总结省内不同办学层次典型高校实践案例，为全省课程规范落地、提质增效提供制度支撑。</w:t>
            </w:r>
          </w:p>
        </w:tc>
        <w:tc>
          <w:tcPr>
            <w:tcW w:w="1499" w:type="dxa"/>
            <w:vMerge w:val="continue"/>
            <w:noWrap w:val="0"/>
            <w:vAlign w:val="center"/>
          </w:tcPr>
          <w:p w14:paraId="16BEE098">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4F79B298">
            <w:pPr>
              <w:autoSpaceDE/>
              <w:autoSpaceDN/>
              <w:spacing w:line="0" w:lineRule="atLeast"/>
              <w:jc w:val="center"/>
              <w:rPr>
                <w:rFonts w:hint="eastAsia" w:ascii="仿宋_GB2312" w:hAnsi="仿宋_GB2312" w:eastAsia="仿宋_GB2312" w:cs="仿宋_GB2312"/>
                <w:kern w:val="2"/>
                <w:sz w:val="24"/>
                <w:szCs w:val="24"/>
                <w:lang w:eastAsia="zh-CN"/>
              </w:rPr>
            </w:pPr>
          </w:p>
        </w:tc>
      </w:tr>
      <w:tr w14:paraId="0357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8579883">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50</w:t>
            </w:r>
          </w:p>
        </w:tc>
        <w:tc>
          <w:tcPr>
            <w:tcW w:w="2440" w:type="dxa"/>
            <w:noWrap w:val="0"/>
            <w:vAlign w:val="center"/>
          </w:tcPr>
          <w:p w14:paraId="0CE2095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AI时代高校OPC单人创业教育实施路径研究</w:t>
            </w:r>
          </w:p>
        </w:tc>
        <w:tc>
          <w:tcPr>
            <w:tcW w:w="4454" w:type="dxa"/>
            <w:noWrap w:val="0"/>
            <w:vAlign w:val="center"/>
          </w:tcPr>
          <w:p w14:paraId="56EDBE8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国家相关政策明确提出培育人工智能 OPC（One</w:t>
            </w:r>
            <w:r>
              <w:rPr>
                <w:rFonts w:hint="eastAsia" w:ascii="仿宋_GB2312" w:hAnsi="仿宋_GB2312" w:eastAsia="仿宋_GB2312" w:cs="仿宋_GB2312"/>
                <w:kern w:val="2"/>
                <w:sz w:val="24"/>
                <w:szCs w:val="24"/>
                <w:lang w:val="en-US" w:eastAsia="zh-CN"/>
              </w:rPr>
              <w:t xml:space="preserve"> </w:t>
            </w:r>
            <w:r>
              <w:rPr>
                <w:rFonts w:hint="eastAsia" w:ascii="仿宋_GB2312" w:hAnsi="仿宋_GB2312" w:eastAsia="仿宋_GB2312" w:cs="仿宋_GB2312"/>
                <w:kern w:val="2"/>
                <w:sz w:val="24"/>
                <w:szCs w:val="24"/>
                <w:lang w:eastAsia="zh-CN"/>
              </w:rPr>
              <w:t>Person Company，AI一人公司）。针对当前高校创新创业教育侧重团队创业的现实短板，研究探索适配OPC创业形态的育人路径，完善创新创业人才培养体系，为高校开展OPC创业相关教学实践提供参考。</w:t>
            </w:r>
          </w:p>
        </w:tc>
        <w:tc>
          <w:tcPr>
            <w:tcW w:w="3944" w:type="dxa"/>
            <w:noWrap w:val="0"/>
            <w:vAlign w:val="center"/>
          </w:tcPr>
          <w:p w14:paraId="770C84D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梳理高校OPC创业教育现状与现实痛点，分析OPC创业对学生能力的新要求；从课程设置、AI实操训练、导师机制、孵化支持几方面构建教育实施路径；提出课程、实践、保障三位一体的培育对策，为高校落地OPC 创业教育提供可借鉴方案。</w:t>
            </w:r>
          </w:p>
        </w:tc>
        <w:tc>
          <w:tcPr>
            <w:tcW w:w="1499" w:type="dxa"/>
            <w:noWrap w:val="0"/>
            <w:vAlign w:val="center"/>
          </w:tcPr>
          <w:p w14:paraId="41EB0E44">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020-37626415</w:t>
            </w:r>
          </w:p>
        </w:tc>
        <w:tc>
          <w:tcPr>
            <w:tcW w:w="1477" w:type="dxa"/>
            <w:vMerge w:val="continue"/>
            <w:noWrap w:val="0"/>
            <w:vAlign w:val="center"/>
          </w:tcPr>
          <w:p w14:paraId="4B31EC63">
            <w:pPr>
              <w:autoSpaceDE/>
              <w:autoSpaceDN/>
              <w:spacing w:line="0" w:lineRule="atLeast"/>
              <w:jc w:val="center"/>
              <w:rPr>
                <w:rFonts w:hint="eastAsia" w:ascii="仿宋_GB2312" w:hAnsi="仿宋_GB2312" w:eastAsia="仿宋_GB2312" w:cs="仿宋_GB2312"/>
                <w:kern w:val="2"/>
                <w:sz w:val="24"/>
                <w:szCs w:val="24"/>
                <w:lang w:eastAsia="zh-CN"/>
              </w:rPr>
            </w:pPr>
          </w:p>
        </w:tc>
      </w:tr>
      <w:tr w14:paraId="1A65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82" w:type="dxa"/>
            <w:noWrap w:val="0"/>
            <w:vAlign w:val="center"/>
          </w:tcPr>
          <w:p w14:paraId="164C6491">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51</w:t>
            </w:r>
          </w:p>
        </w:tc>
        <w:tc>
          <w:tcPr>
            <w:tcW w:w="2440" w:type="dxa"/>
            <w:noWrap w:val="0"/>
            <w:vAlign w:val="center"/>
          </w:tcPr>
          <w:p w14:paraId="4C6D229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人工智能赋能视障生考试制卷与评价研究</w:t>
            </w:r>
          </w:p>
        </w:tc>
        <w:tc>
          <w:tcPr>
            <w:tcW w:w="4454" w:type="dxa"/>
            <w:noWrap w:val="0"/>
            <w:vAlign w:val="center"/>
          </w:tcPr>
          <w:p w14:paraId="564DC64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视障生考试面临制卷难度大、评价方式单一等问题。本研究旨在探索明</w:t>
            </w:r>
            <w:r>
              <w:rPr>
                <w:rFonts w:hint="eastAsia" w:ascii="仿宋_GB2312" w:hAnsi="仿宋_GB2312" w:eastAsia="仿宋_GB2312" w:cs="仿宋_GB2312"/>
                <w:kern w:val="2"/>
                <w:sz w:val="24"/>
                <w:szCs w:val="24"/>
                <w:lang w:val="en-US" w:eastAsia="zh-CN"/>
              </w:rPr>
              <w:t>/</w:t>
            </w:r>
            <w:r>
              <w:rPr>
                <w:rFonts w:hint="eastAsia" w:ascii="仿宋_GB2312" w:hAnsi="仿宋_GB2312" w:eastAsia="仿宋_GB2312" w:cs="仿宋_GB2312"/>
                <w:kern w:val="2"/>
                <w:sz w:val="24"/>
                <w:szCs w:val="24"/>
                <w:lang w:eastAsia="zh-CN"/>
              </w:rPr>
              <w:t>盲文智能互译、无障碍试题自动生成与个性化评价等技术，对完善残疾人教育考试服务体系、推进教育公平与教育数字化改革具有重要意义。</w:t>
            </w:r>
          </w:p>
        </w:tc>
        <w:tc>
          <w:tcPr>
            <w:tcW w:w="3944" w:type="dxa"/>
            <w:noWrap w:val="0"/>
            <w:vAlign w:val="center"/>
          </w:tcPr>
          <w:p w14:paraId="25CDE6C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1.调研省内视障生考试现状与需求，梳理制卷、评价的痛点难点；</w:t>
            </w:r>
          </w:p>
          <w:p w14:paraId="44D0D9E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2.研发明/盲文智能互译与试题无障碍转换技术，构建AI辅助制卷流程；</w:t>
            </w:r>
          </w:p>
          <w:p w14:paraId="66445B8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3.研究基于AI的试题难度适配、个性化命题与自动生成算法；</w:t>
            </w:r>
          </w:p>
          <w:p w14:paraId="3B5B09D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4.构建面向视障生的考试智能评价模型，探索多维能力评价方式；</w:t>
            </w:r>
          </w:p>
          <w:p w14:paraId="0510077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5.开展试点，形成可复制推广的视障生考试制卷与评价的“广东方案”。</w:t>
            </w:r>
          </w:p>
        </w:tc>
        <w:tc>
          <w:tcPr>
            <w:tcW w:w="1499" w:type="dxa"/>
            <w:noWrap w:val="0"/>
            <w:vAlign w:val="center"/>
          </w:tcPr>
          <w:p w14:paraId="6691C7AB">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020-38627908</w:t>
            </w:r>
          </w:p>
        </w:tc>
        <w:tc>
          <w:tcPr>
            <w:tcW w:w="1477" w:type="dxa"/>
            <w:vMerge w:val="restart"/>
            <w:noWrap w:val="0"/>
            <w:vAlign w:val="center"/>
          </w:tcPr>
          <w:p w14:paraId="1D342BE1">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sz w:val="24"/>
                <w:szCs w:val="24"/>
                <w:lang w:val="en-US" w:eastAsia="zh-CN"/>
              </w:rPr>
              <w:t>省</w:t>
            </w:r>
            <w:r>
              <w:rPr>
                <w:rFonts w:hint="eastAsia" w:ascii="仿宋_GB2312" w:hAnsi="仿宋_GB2312" w:eastAsia="仿宋_GB2312" w:cs="仿宋_GB2312"/>
                <w:sz w:val="24"/>
                <w:szCs w:val="24"/>
                <w:lang w:eastAsia="zh-CN"/>
              </w:rPr>
              <w:t>教育考试院</w:t>
            </w:r>
          </w:p>
        </w:tc>
      </w:tr>
      <w:tr w14:paraId="51B6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9C4D514">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52</w:t>
            </w:r>
          </w:p>
        </w:tc>
        <w:tc>
          <w:tcPr>
            <w:tcW w:w="2440" w:type="dxa"/>
            <w:noWrap w:val="0"/>
            <w:vAlign w:val="center"/>
          </w:tcPr>
          <w:p w14:paraId="67E2802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考试治理视角下推进高等学历继续教育规范管理的对策研究</w:t>
            </w:r>
          </w:p>
        </w:tc>
        <w:tc>
          <w:tcPr>
            <w:tcW w:w="4454" w:type="dxa"/>
            <w:noWrap w:val="0"/>
            <w:vAlign w:val="center"/>
          </w:tcPr>
          <w:p w14:paraId="79CE039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本选题立足考试治理视角，剖析考务和学校招生、学籍管理、办学质量、校外教学点管理等方面关联，推动把好高等学历继续教育入门关，高质量推进成考工作。</w:t>
            </w:r>
          </w:p>
        </w:tc>
        <w:tc>
          <w:tcPr>
            <w:tcW w:w="3944" w:type="dxa"/>
            <w:noWrap w:val="0"/>
            <w:vAlign w:val="center"/>
          </w:tcPr>
          <w:p w14:paraId="7595775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1.研究当前成人高考在报名组织、资格审核等环节面临的形势；</w:t>
            </w:r>
          </w:p>
          <w:p w14:paraId="1EB3C5F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2.研究考试管理与招生、学籍管理、办学质量、校外教学点管理方面的内在逻辑；</w:t>
            </w:r>
          </w:p>
          <w:p w14:paraId="2AE4B3F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3.以考务招生改革为抓手，提出规范化管理的治理对策，赋能继续教育高质量发展。</w:t>
            </w:r>
          </w:p>
        </w:tc>
        <w:tc>
          <w:tcPr>
            <w:tcW w:w="1499" w:type="dxa"/>
            <w:noWrap w:val="0"/>
            <w:vAlign w:val="center"/>
          </w:tcPr>
          <w:p w14:paraId="51A61C5A">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020-38747718</w:t>
            </w:r>
          </w:p>
        </w:tc>
        <w:tc>
          <w:tcPr>
            <w:tcW w:w="1477" w:type="dxa"/>
            <w:vMerge w:val="continue"/>
            <w:noWrap w:val="0"/>
            <w:vAlign w:val="center"/>
          </w:tcPr>
          <w:p w14:paraId="2C065F8A">
            <w:pPr>
              <w:autoSpaceDE/>
              <w:autoSpaceDN/>
              <w:spacing w:line="0" w:lineRule="atLeast"/>
              <w:jc w:val="center"/>
              <w:rPr>
                <w:rFonts w:hint="eastAsia" w:ascii="仿宋_GB2312" w:hAnsi="仿宋_GB2312" w:eastAsia="仿宋_GB2312" w:cs="仿宋_GB2312"/>
                <w:kern w:val="2"/>
                <w:sz w:val="24"/>
                <w:szCs w:val="24"/>
                <w:lang w:eastAsia="zh-CN"/>
              </w:rPr>
            </w:pPr>
          </w:p>
        </w:tc>
      </w:tr>
      <w:tr w14:paraId="48C5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D2D0027">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53</w:t>
            </w:r>
          </w:p>
        </w:tc>
        <w:tc>
          <w:tcPr>
            <w:tcW w:w="2440" w:type="dxa"/>
            <w:noWrap w:val="0"/>
            <w:vAlign w:val="center"/>
          </w:tcPr>
          <w:p w14:paraId="48B027A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人工智能赋能教育考试智能监管关键技术研究</w:t>
            </w:r>
          </w:p>
        </w:tc>
        <w:tc>
          <w:tcPr>
            <w:tcW w:w="4454" w:type="dxa"/>
            <w:noWrap w:val="0"/>
            <w:vAlign w:val="center"/>
          </w:tcPr>
          <w:p w14:paraId="6AA728B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面向生成式人工智能发展带来的考试安全新挑战，研究人工智能在考试风险识别、智能巡查、异常行为检测和安全监管等场景中的关键技术应用，提升教育考试安全治理智能化水平。</w:t>
            </w:r>
          </w:p>
        </w:tc>
        <w:tc>
          <w:tcPr>
            <w:tcW w:w="3944" w:type="dxa"/>
            <w:noWrap w:val="0"/>
            <w:vAlign w:val="center"/>
          </w:tcPr>
          <w:p w14:paraId="6ECFF09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围绕教育考试全过程监管需求，研究多模态感知、智能巡查、异常行为识别、风险预警等关键技术，构建考试安全智能监管模型；设计面向考试安全场景的智能巡查能力评估方法，提升人工智能监管模型的准确性、可靠性和应用水平，形成可推广的智能监管技术体系。</w:t>
            </w:r>
          </w:p>
        </w:tc>
        <w:tc>
          <w:tcPr>
            <w:tcW w:w="1499" w:type="dxa"/>
            <w:vMerge w:val="restart"/>
            <w:noWrap w:val="0"/>
            <w:vAlign w:val="center"/>
          </w:tcPr>
          <w:p w14:paraId="6648EB46">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020-38627896</w:t>
            </w:r>
          </w:p>
        </w:tc>
        <w:tc>
          <w:tcPr>
            <w:tcW w:w="1477" w:type="dxa"/>
            <w:vMerge w:val="continue"/>
            <w:noWrap w:val="0"/>
            <w:vAlign w:val="center"/>
          </w:tcPr>
          <w:p w14:paraId="626DDF15">
            <w:pPr>
              <w:autoSpaceDE/>
              <w:autoSpaceDN/>
              <w:spacing w:line="0" w:lineRule="atLeast"/>
              <w:jc w:val="center"/>
              <w:rPr>
                <w:rFonts w:hint="eastAsia" w:ascii="仿宋_GB2312" w:hAnsi="仿宋_GB2312" w:eastAsia="仿宋_GB2312" w:cs="仿宋_GB2312"/>
                <w:kern w:val="2"/>
                <w:sz w:val="24"/>
                <w:szCs w:val="24"/>
                <w:lang w:eastAsia="zh-CN"/>
              </w:rPr>
            </w:pPr>
          </w:p>
        </w:tc>
      </w:tr>
      <w:tr w14:paraId="45DD4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717846B">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54</w:t>
            </w:r>
          </w:p>
        </w:tc>
        <w:tc>
          <w:tcPr>
            <w:tcW w:w="2440" w:type="dxa"/>
            <w:noWrap w:val="0"/>
            <w:vAlign w:val="center"/>
          </w:tcPr>
          <w:p w14:paraId="54DEF08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教育考试数字化智能化转型背景下的数据治理体系建设研究</w:t>
            </w:r>
          </w:p>
        </w:tc>
        <w:tc>
          <w:tcPr>
            <w:tcW w:w="4454" w:type="dxa"/>
            <w:noWrap w:val="0"/>
            <w:vAlign w:val="center"/>
          </w:tcPr>
          <w:p w14:paraId="1EA7A76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本课题围绕教育考试数字化、智能化转型需求，以加强数据治理能力建设，完善安全可信的信息化支撑体系为目标，研究数据治理机制、资源共享应用和自主可信的支撑路径，为提升考试治理能力提供政策参考。</w:t>
            </w:r>
          </w:p>
        </w:tc>
        <w:tc>
          <w:tcPr>
            <w:tcW w:w="3944" w:type="dxa"/>
            <w:noWrap w:val="0"/>
            <w:vAlign w:val="center"/>
          </w:tcPr>
          <w:p w14:paraId="2EF3B43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研究教育考试数据资源管理、共享应用和安全保护机制，探索多项考试数据贯通应用路径；研究教育考试信息化自主可信建设模式，完善数据治理、技术支撑和制度保障体系。</w:t>
            </w:r>
          </w:p>
        </w:tc>
        <w:tc>
          <w:tcPr>
            <w:tcW w:w="1499" w:type="dxa"/>
            <w:vMerge w:val="continue"/>
            <w:noWrap w:val="0"/>
            <w:vAlign w:val="center"/>
          </w:tcPr>
          <w:p w14:paraId="77C14D2E">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44AAF9F9">
            <w:pPr>
              <w:autoSpaceDE/>
              <w:autoSpaceDN/>
              <w:spacing w:line="0" w:lineRule="atLeast"/>
              <w:jc w:val="center"/>
              <w:rPr>
                <w:rFonts w:hint="eastAsia" w:ascii="仿宋_GB2312" w:hAnsi="仿宋_GB2312" w:eastAsia="仿宋_GB2312" w:cs="仿宋_GB2312"/>
                <w:kern w:val="2"/>
                <w:sz w:val="24"/>
                <w:szCs w:val="24"/>
                <w:lang w:eastAsia="zh-CN"/>
              </w:rPr>
            </w:pPr>
          </w:p>
        </w:tc>
      </w:tr>
      <w:tr w14:paraId="73BB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18F72A6">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55</w:t>
            </w:r>
          </w:p>
        </w:tc>
        <w:tc>
          <w:tcPr>
            <w:tcW w:w="2440" w:type="dxa"/>
            <w:noWrap w:val="0"/>
            <w:vAlign w:val="center"/>
          </w:tcPr>
          <w:p w14:paraId="72DD6AE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广东省高等教育自学考试网络助学与过程性评价的实践与探索</w:t>
            </w:r>
          </w:p>
        </w:tc>
        <w:tc>
          <w:tcPr>
            <w:tcW w:w="4454" w:type="dxa"/>
            <w:noWrap w:val="0"/>
            <w:vAlign w:val="center"/>
          </w:tcPr>
          <w:p w14:paraId="74FA9A4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为深入践行终身学习理念，推动自学考试考核从“重结果、轻过程”转向“过程与结果并重”，完善多元评价体系、革新自考人才培养模式，通过网络助学与过程性评价提升考生学业水平、课程通过率，盘活存量考生资源，破解发展困境，推动新时代自考事业高质量发展具有重要的意义。</w:t>
            </w:r>
          </w:p>
        </w:tc>
        <w:tc>
          <w:tcPr>
            <w:tcW w:w="3944" w:type="dxa"/>
            <w:noWrap w:val="0"/>
            <w:vAlign w:val="center"/>
          </w:tcPr>
          <w:p w14:paraId="0A112DF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对标国家及我省教育工作部署，既可立足全省、珠三角、粤东西北开展宏观理论研究，也可立足主考院校开展微观实践探索。依托主考学校搭建数字化助学平台，聚焦自考助学现实痛点，结合本省试点成效，总结提炼可复制可推广的过程性评价实施路径，为相关政策制定与落地实施提供支撑。</w:t>
            </w:r>
          </w:p>
        </w:tc>
        <w:tc>
          <w:tcPr>
            <w:tcW w:w="1499" w:type="dxa"/>
            <w:noWrap w:val="0"/>
            <w:vAlign w:val="center"/>
          </w:tcPr>
          <w:p w14:paraId="2CB4EADF">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020-38627968</w:t>
            </w:r>
          </w:p>
        </w:tc>
        <w:tc>
          <w:tcPr>
            <w:tcW w:w="1477" w:type="dxa"/>
            <w:vMerge w:val="continue"/>
            <w:noWrap w:val="0"/>
            <w:vAlign w:val="center"/>
          </w:tcPr>
          <w:p w14:paraId="3F723983">
            <w:pPr>
              <w:autoSpaceDE/>
              <w:autoSpaceDN/>
              <w:spacing w:line="0" w:lineRule="atLeast"/>
              <w:jc w:val="center"/>
              <w:rPr>
                <w:rFonts w:hint="eastAsia" w:ascii="仿宋_GB2312" w:hAnsi="仿宋_GB2312" w:eastAsia="仿宋_GB2312" w:cs="仿宋_GB2312"/>
                <w:kern w:val="2"/>
                <w:sz w:val="24"/>
                <w:szCs w:val="24"/>
                <w:lang w:eastAsia="zh-CN"/>
              </w:rPr>
            </w:pPr>
          </w:p>
        </w:tc>
      </w:tr>
      <w:tr w14:paraId="413A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838F7A6">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56</w:t>
            </w:r>
          </w:p>
        </w:tc>
        <w:tc>
          <w:tcPr>
            <w:tcW w:w="2440" w:type="dxa"/>
            <w:noWrap w:val="0"/>
            <w:vAlign w:val="center"/>
          </w:tcPr>
          <w:p w14:paraId="3667A7F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广东省高等教育自学考试专业停考收尾工作的实践与探索</w:t>
            </w:r>
          </w:p>
        </w:tc>
        <w:tc>
          <w:tcPr>
            <w:tcW w:w="4454" w:type="dxa"/>
            <w:noWrap w:val="0"/>
            <w:vAlign w:val="center"/>
          </w:tcPr>
          <w:p w14:paraId="6F3FD14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专业开考、调整、停考是自考高质量发展的重要环节，停考工作涉及考生切身利益，考生诉求集中突出。研究完善停考专业收尾处置办法，切实维护考生合法权益，是做好我省自考专业建设、落实以考生为本服务理念的重要保障。</w:t>
            </w:r>
          </w:p>
        </w:tc>
        <w:tc>
          <w:tcPr>
            <w:tcW w:w="3944" w:type="dxa"/>
            <w:noWrap w:val="0"/>
            <w:vAlign w:val="center"/>
          </w:tcPr>
          <w:p w14:paraId="757EB60A">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依据自考制度相关规定及全国考委专业建设相关要求，立足服务考生，聚焦停考专业存量考生处置问题，结合我省近年自考办考实际，充分吸纳主考院校实践经验与意见建议，研究拟定我省自考专业停考配套收尾处置办法，为相关政策制定实施提供参考。</w:t>
            </w:r>
          </w:p>
        </w:tc>
        <w:tc>
          <w:tcPr>
            <w:tcW w:w="1499" w:type="dxa"/>
            <w:noWrap w:val="0"/>
            <w:vAlign w:val="center"/>
          </w:tcPr>
          <w:p w14:paraId="7EE9DD25">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020-38627820</w:t>
            </w:r>
          </w:p>
        </w:tc>
        <w:tc>
          <w:tcPr>
            <w:tcW w:w="1477" w:type="dxa"/>
            <w:vMerge w:val="continue"/>
            <w:noWrap w:val="0"/>
            <w:vAlign w:val="center"/>
          </w:tcPr>
          <w:p w14:paraId="617FD6B5">
            <w:pPr>
              <w:autoSpaceDE/>
              <w:autoSpaceDN/>
              <w:spacing w:line="0" w:lineRule="atLeast"/>
              <w:jc w:val="center"/>
              <w:rPr>
                <w:rFonts w:hint="eastAsia" w:ascii="仿宋_GB2312" w:hAnsi="仿宋_GB2312" w:eastAsia="仿宋_GB2312" w:cs="仿宋_GB2312"/>
                <w:kern w:val="2"/>
                <w:sz w:val="24"/>
                <w:szCs w:val="24"/>
                <w:lang w:eastAsia="zh-CN"/>
              </w:rPr>
            </w:pPr>
          </w:p>
        </w:tc>
      </w:tr>
      <w:tr w14:paraId="0CBE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7D849CA">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57</w:t>
            </w:r>
          </w:p>
        </w:tc>
        <w:tc>
          <w:tcPr>
            <w:tcW w:w="2440" w:type="dxa"/>
            <w:noWrap w:val="0"/>
            <w:vAlign w:val="center"/>
          </w:tcPr>
          <w:p w14:paraId="64F9DC7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考试评价服务县域普通高中教学质量提升的应用研究</w:t>
            </w:r>
          </w:p>
        </w:tc>
        <w:tc>
          <w:tcPr>
            <w:tcW w:w="4454" w:type="dxa"/>
            <w:noWrap w:val="0"/>
            <w:vAlign w:val="center"/>
          </w:tcPr>
          <w:p w14:paraId="34EE650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县域高中承载全国约半数学生的教育期望，是教育公平根基与乡村振兴战略支撑。近年来县中面临生源师资流失等“塌陷”困境。考试数据蕴含诊断、发现差异、指引改进的重要价值，探索其转化为教学质量提升的决策依据与行动工具，对破解县中困局具有重要实践意义。</w:t>
            </w:r>
          </w:p>
        </w:tc>
        <w:tc>
          <w:tcPr>
            <w:tcW w:w="3944" w:type="dxa"/>
            <w:noWrap w:val="0"/>
            <w:vAlign w:val="center"/>
          </w:tcPr>
          <w:p w14:paraId="4C79FC1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聚焦考试评价赋能县中教学质量提升。一是基于县域高中考试数据和考情分析，诊断教学。二是探索“监测—诊断—反馈—改进”的循证闭环，提供优化方案。三是构建考试评价服务县中协同模式，推动考试评价从“分数报告”向“循证改进方案”转变，为县中振兴提供现实路径。</w:t>
            </w:r>
          </w:p>
        </w:tc>
        <w:tc>
          <w:tcPr>
            <w:tcW w:w="1499" w:type="dxa"/>
            <w:vMerge w:val="restart"/>
            <w:noWrap w:val="0"/>
            <w:vAlign w:val="center"/>
          </w:tcPr>
          <w:p w14:paraId="551B589F">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020-38627858</w:t>
            </w:r>
          </w:p>
        </w:tc>
        <w:tc>
          <w:tcPr>
            <w:tcW w:w="1477" w:type="dxa"/>
            <w:vMerge w:val="continue"/>
            <w:noWrap w:val="0"/>
            <w:vAlign w:val="center"/>
          </w:tcPr>
          <w:p w14:paraId="3624430B">
            <w:pPr>
              <w:autoSpaceDE/>
              <w:autoSpaceDN/>
              <w:spacing w:line="0" w:lineRule="atLeast"/>
              <w:jc w:val="center"/>
              <w:rPr>
                <w:rFonts w:hint="eastAsia" w:ascii="仿宋_GB2312" w:hAnsi="仿宋_GB2312" w:eastAsia="仿宋_GB2312" w:cs="仿宋_GB2312"/>
                <w:kern w:val="2"/>
                <w:sz w:val="24"/>
                <w:szCs w:val="24"/>
                <w:lang w:eastAsia="zh-CN"/>
              </w:rPr>
            </w:pPr>
          </w:p>
        </w:tc>
      </w:tr>
      <w:tr w14:paraId="53B4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1030572">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58</w:t>
            </w:r>
          </w:p>
        </w:tc>
        <w:tc>
          <w:tcPr>
            <w:tcW w:w="2440" w:type="dxa"/>
            <w:noWrap w:val="0"/>
            <w:vAlign w:val="center"/>
          </w:tcPr>
          <w:p w14:paraId="4125CB7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“选拔—识别—培养”三位一体：考试评价赋能拔尖创新人才早期发现与贯通式培养路径研究</w:t>
            </w:r>
          </w:p>
        </w:tc>
        <w:tc>
          <w:tcPr>
            <w:tcW w:w="4454" w:type="dxa"/>
            <w:noWrap w:val="0"/>
            <w:vAlign w:val="center"/>
          </w:tcPr>
          <w:p w14:paraId="44431BD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习近平总书记强调，要统筹实施拔尖计划、强基计划、英才计划，注重基础教育阶段早期培养，完善本硕博贯通培养模式。考试评价应突破单一分数导向，构建“科学选拔—精准识别—系统培养”三位一体的赋能机制，推动选拔从“分数筛选”向“潜力识别”转变，打通早期发现、长周期跟踪与个性化培养全链条。在此背景下，研究考试评价赋能拔尖创新人才早期发现与贯通式培养路径，具有重要理论价值与实践意义。</w:t>
            </w:r>
          </w:p>
        </w:tc>
        <w:tc>
          <w:tcPr>
            <w:tcW w:w="3944" w:type="dxa"/>
            <w:noWrap w:val="0"/>
            <w:vAlign w:val="center"/>
          </w:tcPr>
          <w:p w14:paraId="25FC782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探索考试评价在拔尖创新人才选拔中的功能发挥。一是构建考试评价结果的多维分析框架，通过建立知识点与核心素养维度的映射关系，运用知识追踪技术从学生答题数据中推断其在批判性思维、创新潜质、学科特长等维度的表现水平 。二是基于考试数据构建拔尖创新潜质识别模型，通过分析学生在复杂情境任务中的作答模式、思维路径和失分特征，挖掘其在新方法探索、跨学科迁移和问题解决中的表现，识别具有创新潜质的学生 。三是研究评价结果的诊断与反馈机制，形成涵盖学科优势、素养发展水平及薄弱环节的个体画像报告，为精准选拔提供循证依据，推动考试评价从“分数排序”向“潜力诊断”转变 。</w:t>
            </w:r>
          </w:p>
        </w:tc>
        <w:tc>
          <w:tcPr>
            <w:tcW w:w="1499" w:type="dxa"/>
            <w:vMerge w:val="continue"/>
            <w:noWrap w:val="0"/>
            <w:vAlign w:val="center"/>
          </w:tcPr>
          <w:p w14:paraId="5B1E9568">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70434DB7">
            <w:pPr>
              <w:autoSpaceDE/>
              <w:autoSpaceDN/>
              <w:spacing w:line="0" w:lineRule="atLeast"/>
              <w:jc w:val="center"/>
              <w:rPr>
                <w:rFonts w:hint="eastAsia" w:ascii="仿宋_GB2312" w:hAnsi="仿宋_GB2312" w:eastAsia="仿宋_GB2312" w:cs="仿宋_GB2312"/>
                <w:kern w:val="2"/>
                <w:sz w:val="24"/>
                <w:szCs w:val="24"/>
                <w:lang w:eastAsia="zh-CN"/>
              </w:rPr>
            </w:pPr>
          </w:p>
        </w:tc>
      </w:tr>
      <w:tr w14:paraId="109D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82" w:type="dxa"/>
            <w:noWrap w:val="0"/>
            <w:vAlign w:val="center"/>
          </w:tcPr>
          <w:p w14:paraId="13A89AD8">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59</w:t>
            </w:r>
          </w:p>
        </w:tc>
        <w:tc>
          <w:tcPr>
            <w:tcW w:w="2440" w:type="dxa"/>
            <w:noWrap w:val="0"/>
            <w:vAlign w:val="center"/>
          </w:tcPr>
          <w:p w14:paraId="447C7EF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基于试题编码的高中历史合格考智能组卷实践探索</w:t>
            </w:r>
          </w:p>
        </w:tc>
        <w:tc>
          <w:tcPr>
            <w:tcW w:w="4454" w:type="dxa"/>
            <w:noWrap w:val="0"/>
            <w:vAlign w:val="center"/>
          </w:tcPr>
          <w:p w14:paraId="393772F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通过标准化的标签体系，实现对试题属性的精准管控，合理控制试卷的难度，保障试卷的效度；减轻命题教师负担，减少命题经费的支出，达到为历史学科学业水平检测提质增效的效果。</w:t>
            </w:r>
          </w:p>
        </w:tc>
        <w:tc>
          <w:tcPr>
            <w:tcW w:w="3944" w:type="dxa"/>
            <w:noWrap w:val="0"/>
            <w:vAlign w:val="center"/>
          </w:tcPr>
          <w:p w14:paraId="7214456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依托试题编码技术，探索高中历史合格考智能组卷路径。首先，建设高中历史学业水平合格性考试题库；其次，构建试题多维编码体系，从知识点、能力层级、题型、难度等维度标注试题；再次，录入系统，开展智能组卷实践，发现组卷过程存在的问题；最后，优化编码规则，完善组卷策略。</w:t>
            </w:r>
          </w:p>
        </w:tc>
        <w:tc>
          <w:tcPr>
            <w:tcW w:w="1499" w:type="dxa"/>
            <w:noWrap w:val="0"/>
            <w:vAlign w:val="center"/>
          </w:tcPr>
          <w:p w14:paraId="11320504">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020-38627845</w:t>
            </w:r>
          </w:p>
        </w:tc>
        <w:tc>
          <w:tcPr>
            <w:tcW w:w="1477" w:type="dxa"/>
            <w:vMerge w:val="continue"/>
            <w:noWrap w:val="0"/>
            <w:vAlign w:val="center"/>
          </w:tcPr>
          <w:p w14:paraId="5E5919D1">
            <w:pPr>
              <w:autoSpaceDE/>
              <w:autoSpaceDN/>
              <w:spacing w:line="0" w:lineRule="atLeast"/>
              <w:jc w:val="center"/>
              <w:rPr>
                <w:rFonts w:hint="eastAsia" w:ascii="仿宋_GB2312" w:hAnsi="仿宋_GB2312" w:eastAsia="仿宋_GB2312" w:cs="仿宋_GB2312"/>
                <w:kern w:val="2"/>
                <w:sz w:val="24"/>
                <w:szCs w:val="24"/>
                <w:lang w:eastAsia="zh-CN"/>
              </w:rPr>
            </w:pPr>
          </w:p>
        </w:tc>
      </w:tr>
      <w:tr w14:paraId="4B4A0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B584259">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60</w:t>
            </w:r>
          </w:p>
        </w:tc>
        <w:tc>
          <w:tcPr>
            <w:tcW w:w="2440" w:type="dxa"/>
            <w:noWrap w:val="0"/>
            <w:vAlign w:val="center"/>
          </w:tcPr>
          <w:p w14:paraId="39688D6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基于保教活动质量的幼儿园玩教具配备评价与优化机制研究</w:t>
            </w:r>
          </w:p>
        </w:tc>
        <w:tc>
          <w:tcPr>
            <w:tcW w:w="4454" w:type="dxa"/>
            <w:noWrap w:val="0"/>
            <w:vAlign w:val="center"/>
          </w:tcPr>
          <w:p w14:paraId="61B27D7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系统分析玩教具配备如何融入幼儿园保教活动过程性质量评价，突破学前教育装备与玩教具仅作为静态环境影响的理论视角，将玩教具与幼儿同伴互动、师幼互动有机结合起来，为玩教具配备与优化提供指导，促进幼儿园保教质量进一步提升。</w:t>
            </w:r>
          </w:p>
        </w:tc>
        <w:tc>
          <w:tcPr>
            <w:tcW w:w="3944" w:type="dxa"/>
            <w:noWrap w:val="0"/>
            <w:vAlign w:val="center"/>
          </w:tcPr>
          <w:p w14:paraId="0F39B80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基于游戏活动和玩教具的功能特征，回应“玩教具配备如何支撑保教过程质量评价”的问题。研究内容包括：1.保教过程中玩教具配备的质量需求分析；2.保教活动中玩教具配备现状与效果研究；3.游戏活动中幼儿与玩教具的行动者网络特征研究；4.师幼互动中玩教具闲置的原因与优化实践研究；5.玩教具配备的协同管理标准与方案研究。</w:t>
            </w:r>
          </w:p>
        </w:tc>
        <w:tc>
          <w:tcPr>
            <w:tcW w:w="1499" w:type="dxa"/>
            <w:vMerge w:val="restart"/>
            <w:noWrap w:val="0"/>
            <w:vAlign w:val="center"/>
          </w:tcPr>
          <w:p w14:paraId="2459FCE2">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020-87627524</w:t>
            </w:r>
          </w:p>
        </w:tc>
        <w:tc>
          <w:tcPr>
            <w:tcW w:w="1477" w:type="dxa"/>
            <w:vMerge w:val="restart"/>
            <w:noWrap w:val="0"/>
            <w:vAlign w:val="center"/>
          </w:tcPr>
          <w:p w14:paraId="3CECF75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省</w:t>
            </w:r>
            <w:r>
              <w:rPr>
                <w:rFonts w:hint="eastAsia" w:ascii="仿宋_GB2312" w:hAnsi="仿宋_GB2312" w:eastAsia="仿宋_GB2312" w:cs="仿宋_GB2312"/>
                <w:kern w:val="2"/>
                <w:sz w:val="24"/>
                <w:szCs w:val="24"/>
                <w:lang w:eastAsia="zh-CN"/>
              </w:rPr>
              <w:t>教育装备中心</w:t>
            </w:r>
          </w:p>
        </w:tc>
      </w:tr>
      <w:tr w14:paraId="71C8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97E3C19">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61</w:t>
            </w:r>
          </w:p>
        </w:tc>
        <w:tc>
          <w:tcPr>
            <w:tcW w:w="2440" w:type="dxa"/>
            <w:noWrap w:val="0"/>
            <w:vAlign w:val="center"/>
          </w:tcPr>
          <w:p w14:paraId="6EB35F7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中小学教师实验创新能力职前职后一体化培养路径与实践研究</w:t>
            </w:r>
          </w:p>
        </w:tc>
        <w:tc>
          <w:tcPr>
            <w:tcW w:w="4454" w:type="dxa"/>
            <w:noWrap w:val="0"/>
            <w:vAlign w:val="center"/>
          </w:tcPr>
          <w:p w14:paraId="4B276F8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聚焦中小学教师实操与创新能力提升，针对实验教师创新不足、教具开发能力薄弱等问题，探索中小学教师实验创新能力职前职后一体化培养路径，推动科学教育有效落地，为全省实验教学改革提供实践参考，服务基础教育高质量发展。</w:t>
            </w:r>
          </w:p>
        </w:tc>
        <w:tc>
          <w:tcPr>
            <w:tcW w:w="3944" w:type="dxa"/>
            <w:noWrap w:val="0"/>
            <w:vAlign w:val="center"/>
          </w:tcPr>
          <w:p w14:paraId="7447307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梳理广东省中小学教师实验创新能力现状，剖析教师在常规实验操作、创新器材开发过程中存在的共性问题。基于PBL教学模式经验，构建适配中小学教师职前职后一体化的实验创新能力培养路径，为教育行政部门提供对策建议与实践研究。</w:t>
            </w:r>
          </w:p>
        </w:tc>
        <w:tc>
          <w:tcPr>
            <w:tcW w:w="1499" w:type="dxa"/>
            <w:vMerge w:val="continue"/>
            <w:noWrap w:val="0"/>
            <w:vAlign w:val="center"/>
          </w:tcPr>
          <w:p w14:paraId="2C047419">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4DEA93A7">
            <w:pPr>
              <w:autoSpaceDE/>
              <w:autoSpaceDN/>
              <w:spacing w:line="0" w:lineRule="atLeast"/>
              <w:jc w:val="center"/>
              <w:rPr>
                <w:rFonts w:hint="eastAsia" w:ascii="仿宋_GB2312" w:hAnsi="仿宋_GB2312" w:eastAsia="仿宋_GB2312" w:cs="仿宋_GB2312"/>
                <w:kern w:val="2"/>
                <w:sz w:val="24"/>
                <w:szCs w:val="24"/>
                <w:lang w:eastAsia="zh-CN"/>
              </w:rPr>
            </w:pPr>
          </w:p>
        </w:tc>
      </w:tr>
      <w:tr w14:paraId="151A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3E106D9">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62</w:t>
            </w:r>
          </w:p>
        </w:tc>
        <w:tc>
          <w:tcPr>
            <w:tcW w:w="2440" w:type="dxa"/>
            <w:noWrap w:val="0"/>
            <w:vAlign w:val="center"/>
          </w:tcPr>
          <w:p w14:paraId="257B0D15">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高校实验室建设与安全管理及开放共享课题研究</w:t>
            </w:r>
          </w:p>
        </w:tc>
        <w:tc>
          <w:tcPr>
            <w:tcW w:w="4454" w:type="dxa"/>
            <w:noWrap w:val="0"/>
            <w:vAlign w:val="center"/>
          </w:tcPr>
          <w:p w14:paraId="64DB39A7">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牢固树立安全与发展并重理念，统筹推进高校实验室规范建设、安全管理与开放共享协同发展，以有效的安全管理支撑实验室有序开放共享，充分释放高校科技资源效能，服务科技创新与产业发展。</w:t>
            </w:r>
          </w:p>
        </w:tc>
        <w:tc>
          <w:tcPr>
            <w:tcW w:w="3944" w:type="dxa"/>
            <w:noWrap w:val="0"/>
            <w:vAlign w:val="center"/>
          </w:tcPr>
          <w:p w14:paraId="0964F690">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1.建立健全和配套完善实验室安全管理责任体系、制度体系、标准体系，促进现代化治理能力提升；</w:t>
            </w:r>
          </w:p>
          <w:p w14:paraId="06A268B3">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2.强化危险化学品与危险废弃物全周期全流程管控；</w:t>
            </w:r>
          </w:p>
          <w:p w14:paraId="11EBD897">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3.积极推进实验室建设与安全管理专业人才队伍建设和安全教育培训；</w:t>
            </w:r>
          </w:p>
          <w:p w14:paraId="3A5F0A22">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4.加快实验室安全管理信息化建设；</w:t>
            </w:r>
          </w:p>
          <w:p w14:paraId="6433AD4E">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5.深入开展广东特色实验室安全文化建设；</w:t>
            </w:r>
          </w:p>
          <w:p w14:paraId="1AF825EA">
            <w:pPr>
              <w:autoSpaceDE/>
              <w:autoSpaceDN/>
              <w:spacing w:line="0" w:lineRule="atLeast"/>
              <w:jc w:val="both"/>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6.进一步加强学校实验室开放共享的探索实践。</w:t>
            </w:r>
          </w:p>
        </w:tc>
        <w:tc>
          <w:tcPr>
            <w:tcW w:w="1499" w:type="dxa"/>
            <w:noWrap w:val="0"/>
            <w:vAlign w:val="center"/>
          </w:tcPr>
          <w:p w14:paraId="653E7D4D">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020-87606435</w:t>
            </w:r>
          </w:p>
        </w:tc>
        <w:tc>
          <w:tcPr>
            <w:tcW w:w="1477" w:type="dxa"/>
            <w:vMerge w:val="continue"/>
            <w:noWrap w:val="0"/>
            <w:vAlign w:val="center"/>
          </w:tcPr>
          <w:p w14:paraId="336DC6E2">
            <w:pPr>
              <w:autoSpaceDE/>
              <w:autoSpaceDN/>
              <w:spacing w:line="0" w:lineRule="atLeast"/>
              <w:jc w:val="center"/>
              <w:rPr>
                <w:rFonts w:hint="eastAsia" w:ascii="仿宋_GB2312" w:hAnsi="仿宋_GB2312" w:eastAsia="仿宋_GB2312" w:cs="仿宋_GB2312"/>
                <w:kern w:val="2"/>
                <w:sz w:val="24"/>
                <w:szCs w:val="24"/>
                <w:lang w:eastAsia="zh-CN"/>
              </w:rPr>
            </w:pPr>
          </w:p>
        </w:tc>
      </w:tr>
      <w:tr w14:paraId="10EF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44D6BEE6">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63</w:t>
            </w:r>
          </w:p>
        </w:tc>
        <w:tc>
          <w:tcPr>
            <w:tcW w:w="2440" w:type="dxa"/>
            <w:noWrap w:val="0"/>
            <w:vAlign w:val="center"/>
          </w:tcPr>
          <w:p w14:paraId="1B569CF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新政府采购法背景下高校采购需求标准化管理与内控闭环机制研究</w:t>
            </w:r>
          </w:p>
        </w:tc>
        <w:tc>
          <w:tcPr>
            <w:tcW w:w="4454" w:type="dxa"/>
            <w:noWrap w:val="0"/>
            <w:vAlign w:val="center"/>
          </w:tcPr>
          <w:p w14:paraId="49B79A6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紧扣修法与“过紧日子”要求，破解高校采购需求模糊、履约验收难痛点。通过构建标准化需求模板与数字化备案流程，强化采购人主体责任，实现从源头控险到全程留痕的内控闭环，提升财政资金使用效益与采购合规性，为教育系统提供可复制的制度范本。</w:t>
            </w:r>
          </w:p>
        </w:tc>
        <w:tc>
          <w:tcPr>
            <w:tcW w:w="3944" w:type="dxa"/>
            <w:noWrap w:val="0"/>
            <w:vAlign w:val="center"/>
          </w:tcPr>
          <w:p w14:paraId="7BEAA28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1.梳理质疑投诉多发品类项目（如物业、信息化），制定强制需求调查清单与标准化需求书模板；</w:t>
            </w:r>
          </w:p>
          <w:p w14:paraId="0CFA16C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2.设计基于信息系统的需求备案、审核及合同关联机制，实现数据固化；</w:t>
            </w:r>
          </w:p>
          <w:p w14:paraId="6797AD58">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3.探索集中采购目录外通用项目的统筹路径，发挥规模效应；</w:t>
            </w:r>
          </w:p>
          <w:p w14:paraId="060EEC45">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4.嵌入创新采购政策功能，形成包含操作指引、标准文本、风控矩阵在内的全套内控管理规范体系。</w:t>
            </w:r>
          </w:p>
        </w:tc>
        <w:tc>
          <w:tcPr>
            <w:tcW w:w="1499" w:type="dxa"/>
            <w:noWrap w:val="0"/>
            <w:vAlign w:val="center"/>
          </w:tcPr>
          <w:p w14:paraId="020F1BC2">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020-37636405</w:t>
            </w:r>
          </w:p>
        </w:tc>
        <w:tc>
          <w:tcPr>
            <w:tcW w:w="1477" w:type="dxa"/>
            <w:vMerge w:val="continue"/>
            <w:noWrap w:val="0"/>
            <w:vAlign w:val="center"/>
          </w:tcPr>
          <w:p w14:paraId="23BF5066">
            <w:pPr>
              <w:autoSpaceDE/>
              <w:autoSpaceDN/>
              <w:spacing w:line="0" w:lineRule="atLeast"/>
              <w:jc w:val="center"/>
              <w:rPr>
                <w:rFonts w:hint="eastAsia" w:ascii="仿宋_GB2312" w:hAnsi="仿宋_GB2312" w:eastAsia="仿宋_GB2312" w:cs="仿宋_GB2312"/>
                <w:kern w:val="2"/>
                <w:sz w:val="24"/>
                <w:szCs w:val="24"/>
                <w:lang w:eastAsia="zh-CN"/>
              </w:rPr>
            </w:pPr>
          </w:p>
        </w:tc>
      </w:tr>
      <w:tr w14:paraId="41CB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4DF8CA5">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64</w:t>
            </w:r>
          </w:p>
        </w:tc>
        <w:tc>
          <w:tcPr>
            <w:tcW w:w="2440" w:type="dxa"/>
            <w:noWrap w:val="0"/>
            <w:vAlign w:val="center"/>
          </w:tcPr>
          <w:p w14:paraId="598E674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教育大数据中心智能化支撑建设与应用研究</w:t>
            </w:r>
          </w:p>
        </w:tc>
        <w:tc>
          <w:tcPr>
            <w:tcW w:w="4454" w:type="dxa"/>
            <w:noWrap w:val="0"/>
            <w:vAlign w:val="center"/>
          </w:tcPr>
          <w:p w14:paraId="1CE6E8E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研究将人工智能技术全面融入教育大数据中心核心环节，智能化支撑教育大数据中心数据融通采集、数据治理、数据挖掘、数据服务、监测运维、数据安全等环节，为教育大数据中心提供全方位的智能化能力和服务；形成可复制、可推广应用的模型和经验，助力教育行业大数据中心智能化建设与服务。</w:t>
            </w:r>
          </w:p>
        </w:tc>
        <w:tc>
          <w:tcPr>
            <w:tcW w:w="3944" w:type="dxa"/>
            <w:noWrap w:val="0"/>
            <w:vAlign w:val="center"/>
          </w:tcPr>
          <w:p w14:paraId="2342FE6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1.</w:t>
            </w:r>
            <w:r>
              <w:rPr>
                <w:rFonts w:hint="eastAsia" w:ascii="仿宋_GB2312" w:hAnsi="仿宋_GB2312" w:eastAsia="仿宋_GB2312" w:cs="仿宋_GB2312"/>
                <w:kern w:val="2"/>
                <w:sz w:val="24"/>
                <w:szCs w:val="24"/>
                <w:lang w:eastAsia="zh-CN"/>
              </w:rPr>
              <w:t>调研梳理教育大数据中心基础设施、数据平台、数据开发应用、运维监控、安全管理等环节的智能化服务需求；</w:t>
            </w:r>
          </w:p>
          <w:p w14:paraId="21AEB43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2.</w:t>
            </w:r>
            <w:r>
              <w:rPr>
                <w:rFonts w:hint="eastAsia" w:ascii="仿宋_GB2312" w:hAnsi="仿宋_GB2312" w:eastAsia="仿宋_GB2312" w:cs="仿宋_GB2312"/>
                <w:kern w:val="2"/>
                <w:sz w:val="24"/>
                <w:szCs w:val="24"/>
                <w:lang w:eastAsia="zh-CN"/>
              </w:rPr>
              <w:t>探索人工智能辅助教育治理的运行机制和治理路径；输出可落地的实施方案；</w:t>
            </w:r>
          </w:p>
          <w:p w14:paraId="667238C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3.</w:t>
            </w:r>
            <w:r>
              <w:rPr>
                <w:rFonts w:hint="eastAsia" w:ascii="仿宋_GB2312" w:hAnsi="仿宋_GB2312" w:eastAsia="仿宋_GB2312" w:cs="仿宋_GB2312"/>
                <w:kern w:val="2"/>
                <w:sz w:val="24"/>
                <w:szCs w:val="24"/>
                <w:lang w:eastAsia="zh-CN"/>
              </w:rPr>
              <w:t>探索数据智能感知、数据智能分析、智能预判决策、智能调度指挥等典型应用场景；</w:t>
            </w:r>
          </w:p>
          <w:p w14:paraId="13DC5F5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4.探索涵盖数据、技术、安全、运营的智能化支撑体系模型，形成可复制、可推广的建设与应用路径，支撑行业大数据治理与服务效能整体提升。</w:t>
            </w:r>
          </w:p>
        </w:tc>
        <w:tc>
          <w:tcPr>
            <w:tcW w:w="1499" w:type="dxa"/>
            <w:noWrap w:val="0"/>
            <w:vAlign w:val="center"/>
          </w:tcPr>
          <w:p w14:paraId="42D64AAA">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020-84409855</w:t>
            </w:r>
          </w:p>
        </w:tc>
        <w:tc>
          <w:tcPr>
            <w:tcW w:w="1477" w:type="dxa"/>
            <w:vMerge w:val="restart"/>
            <w:noWrap w:val="0"/>
            <w:vAlign w:val="center"/>
          </w:tcPr>
          <w:p w14:paraId="02E72997">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 xml:space="preserve"> 省教育厅事务中心（省电化教育馆）</w:t>
            </w:r>
          </w:p>
        </w:tc>
      </w:tr>
      <w:tr w14:paraId="006D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BC715B8">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65</w:t>
            </w:r>
          </w:p>
        </w:tc>
        <w:tc>
          <w:tcPr>
            <w:tcW w:w="2440" w:type="dxa"/>
            <w:noWrap w:val="0"/>
            <w:vAlign w:val="center"/>
          </w:tcPr>
          <w:p w14:paraId="536DA869">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教育大数据精准赋能教育教学治理实施路径研究</w:t>
            </w:r>
          </w:p>
        </w:tc>
        <w:tc>
          <w:tcPr>
            <w:tcW w:w="4454" w:type="dxa"/>
            <w:noWrap w:val="0"/>
            <w:vAlign w:val="center"/>
          </w:tcPr>
          <w:p w14:paraId="731F292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强化数据治理与服务，挖掘数据价值，聚焦区域教育教学痛点、堵点、难点，充分利用人工智能、大数据、物联网等技术，场景式布局，联动教育数据与业务，赋能教育宏观管理、精准决策、教育均衡、教育评价等方面的应用，提升教育管理与教学水平。</w:t>
            </w:r>
          </w:p>
        </w:tc>
        <w:tc>
          <w:tcPr>
            <w:tcW w:w="3944" w:type="dxa"/>
            <w:noWrap w:val="0"/>
            <w:vAlign w:val="center"/>
          </w:tcPr>
          <w:p w14:paraId="1A04EE8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1.</w:t>
            </w:r>
            <w:r>
              <w:rPr>
                <w:rFonts w:hint="eastAsia" w:ascii="仿宋_GB2312" w:hAnsi="仿宋_GB2312" w:eastAsia="仿宋_GB2312" w:cs="仿宋_GB2312"/>
                <w:kern w:val="2"/>
                <w:sz w:val="24"/>
                <w:szCs w:val="24"/>
                <w:lang w:eastAsia="zh-CN"/>
              </w:rPr>
              <w:t>调研分析实际工作中，急需解决的教育教学痛点、难点、堵点；</w:t>
            </w:r>
          </w:p>
          <w:p w14:paraId="5D323C3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2.</w:t>
            </w:r>
            <w:r>
              <w:rPr>
                <w:rFonts w:hint="eastAsia" w:ascii="仿宋_GB2312" w:hAnsi="仿宋_GB2312" w:eastAsia="仿宋_GB2312" w:cs="仿宋_GB2312"/>
                <w:kern w:val="2"/>
                <w:sz w:val="24"/>
                <w:szCs w:val="24"/>
                <w:lang w:eastAsia="zh-CN"/>
              </w:rPr>
              <w:t>探索规划利用人工智能、大数据技术，挖掘数据价值，场景式解决实际问题的路径和模型；</w:t>
            </w:r>
          </w:p>
          <w:p w14:paraId="5963C776">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3.</w:t>
            </w:r>
            <w:r>
              <w:rPr>
                <w:rFonts w:hint="eastAsia" w:ascii="仿宋_GB2312" w:hAnsi="仿宋_GB2312" w:eastAsia="仿宋_GB2312" w:cs="仿宋_GB2312"/>
                <w:kern w:val="2"/>
                <w:sz w:val="24"/>
                <w:szCs w:val="24"/>
                <w:lang w:eastAsia="zh-CN"/>
              </w:rPr>
              <w:t>聚焦典型场景，打通多源数据，形成“数据治理 —应用分析 —服务反馈 —优化改进”数据赋能支撑建设与应用闭环方案，并进行试点验证；</w:t>
            </w:r>
          </w:p>
          <w:p w14:paraId="188F2C31">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4.</w:t>
            </w:r>
            <w:r>
              <w:rPr>
                <w:rFonts w:hint="eastAsia" w:ascii="仿宋_GB2312" w:hAnsi="仿宋_GB2312" w:eastAsia="仿宋_GB2312" w:cs="仿宋_GB2312"/>
                <w:kern w:val="2"/>
                <w:sz w:val="24"/>
                <w:szCs w:val="24"/>
                <w:lang w:eastAsia="zh-CN"/>
              </w:rPr>
              <w:t>在试点验证基础上，形成可复制可推广方案。</w:t>
            </w:r>
          </w:p>
        </w:tc>
        <w:tc>
          <w:tcPr>
            <w:tcW w:w="1499" w:type="dxa"/>
            <w:noWrap w:val="0"/>
            <w:vAlign w:val="center"/>
          </w:tcPr>
          <w:p w14:paraId="59847D79">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020-84418677</w:t>
            </w:r>
          </w:p>
        </w:tc>
        <w:tc>
          <w:tcPr>
            <w:tcW w:w="1477" w:type="dxa"/>
            <w:vMerge w:val="continue"/>
            <w:noWrap w:val="0"/>
            <w:vAlign w:val="center"/>
          </w:tcPr>
          <w:p w14:paraId="4944FE33">
            <w:pPr>
              <w:autoSpaceDE/>
              <w:autoSpaceDN/>
              <w:spacing w:line="0" w:lineRule="atLeast"/>
              <w:jc w:val="center"/>
              <w:rPr>
                <w:rFonts w:hint="eastAsia" w:ascii="仿宋_GB2312" w:hAnsi="仿宋_GB2312" w:eastAsia="仿宋_GB2312" w:cs="仿宋_GB2312"/>
                <w:kern w:val="2"/>
                <w:sz w:val="24"/>
                <w:szCs w:val="24"/>
                <w:lang w:eastAsia="zh-CN"/>
              </w:rPr>
            </w:pPr>
          </w:p>
        </w:tc>
      </w:tr>
      <w:tr w14:paraId="506F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5C3732A">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66</w:t>
            </w:r>
          </w:p>
        </w:tc>
        <w:tc>
          <w:tcPr>
            <w:tcW w:w="2440" w:type="dxa"/>
            <w:noWrap w:val="0"/>
            <w:vAlign w:val="center"/>
          </w:tcPr>
          <w:p w14:paraId="02CB20FB">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广东省智慧教育平台智能化改造研究与实践</w:t>
            </w:r>
          </w:p>
        </w:tc>
        <w:tc>
          <w:tcPr>
            <w:tcW w:w="4454" w:type="dxa"/>
            <w:noWrap w:val="0"/>
            <w:vAlign w:val="center"/>
          </w:tcPr>
          <w:p w14:paraId="73C7646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落实国家智慧教育平台全域应用和人工智能赋能教育行动试点任务，推动省智慧教育平台智能化升级、发挥枢纽支撑作用，是广东体现试点省担当、加快教育强省建设、促进资源普惠共享、引领全省教育数智化转型的重要举措。</w:t>
            </w:r>
          </w:p>
        </w:tc>
        <w:tc>
          <w:tcPr>
            <w:tcW w:w="3944" w:type="dxa"/>
            <w:noWrap w:val="0"/>
            <w:vAlign w:val="center"/>
          </w:tcPr>
          <w:p w14:paraId="18B97E2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依托省教育大数据人工智能中台开展智能体设计与实践：</w:t>
            </w:r>
          </w:p>
          <w:p w14:paraId="1B4A9CF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1.智能服务助手：为全省师生提供找资源、找功能、答疑、提建议等服务；</w:t>
            </w:r>
          </w:p>
          <w:p w14:paraId="35F8DD17">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2.智能专家助手：基于案例库分析国家平台与AI应用成效、教师数字素养，为省级决策生成“专家分析报告”；</w:t>
            </w:r>
          </w:p>
          <w:p w14:paraId="25FF3702">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3.智能活动助手：为省级管理人员创建活动、审核材料、案例初评，支撑全省活动高效开展。</w:t>
            </w:r>
          </w:p>
        </w:tc>
        <w:tc>
          <w:tcPr>
            <w:tcW w:w="1499" w:type="dxa"/>
            <w:noWrap w:val="0"/>
            <w:vAlign w:val="center"/>
          </w:tcPr>
          <w:p w14:paraId="754D830E">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020-84409852</w:t>
            </w:r>
          </w:p>
        </w:tc>
        <w:tc>
          <w:tcPr>
            <w:tcW w:w="1477" w:type="dxa"/>
            <w:vMerge w:val="continue"/>
            <w:noWrap w:val="0"/>
            <w:vAlign w:val="center"/>
          </w:tcPr>
          <w:p w14:paraId="0E401824">
            <w:pPr>
              <w:autoSpaceDE/>
              <w:autoSpaceDN/>
              <w:spacing w:line="0" w:lineRule="atLeast"/>
              <w:jc w:val="center"/>
              <w:rPr>
                <w:rFonts w:hint="eastAsia" w:ascii="仿宋_GB2312" w:hAnsi="仿宋_GB2312" w:eastAsia="仿宋_GB2312" w:cs="仿宋_GB2312"/>
                <w:kern w:val="2"/>
                <w:sz w:val="24"/>
                <w:szCs w:val="24"/>
                <w:lang w:eastAsia="zh-CN"/>
              </w:rPr>
            </w:pPr>
          </w:p>
        </w:tc>
      </w:tr>
      <w:tr w14:paraId="179E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613950D0">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67</w:t>
            </w:r>
          </w:p>
        </w:tc>
        <w:tc>
          <w:tcPr>
            <w:tcW w:w="2440" w:type="dxa"/>
            <w:noWrap w:val="0"/>
            <w:vAlign w:val="center"/>
          </w:tcPr>
          <w:p w14:paraId="6B915FA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“双百行动”决策咨询及政策建议的制定与运用</w:t>
            </w:r>
          </w:p>
        </w:tc>
        <w:tc>
          <w:tcPr>
            <w:tcW w:w="4454" w:type="dxa"/>
            <w:noWrap w:val="0"/>
            <w:vAlign w:val="center"/>
          </w:tcPr>
          <w:p w14:paraId="61FF69D3">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双百行动”决策咨询是高校服务县域高质量发展的重要路径。当前高校智库供给与县域决策需求对接不精准、政策建议转化运用不畅等问题突出，研究其制定与运用机制，对提升校地协同决策效能、推动“百千万工程”科学实施具有重要意义。</w:t>
            </w:r>
          </w:p>
        </w:tc>
        <w:tc>
          <w:tcPr>
            <w:tcW w:w="3944" w:type="dxa"/>
            <w:noWrap w:val="0"/>
            <w:vAlign w:val="center"/>
          </w:tcPr>
          <w:p w14:paraId="5690194F">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1.</w:t>
            </w:r>
            <w:r>
              <w:rPr>
                <w:rFonts w:hint="eastAsia" w:ascii="仿宋_GB2312" w:hAnsi="仿宋_GB2312" w:eastAsia="仿宋_GB2312" w:cs="仿宋_GB2312"/>
                <w:kern w:val="2"/>
                <w:sz w:val="24"/>
                <w:szCs w:val="24"/>
                <w:lang w:eastAsia="zh-CN"/>
              </w:rPr>
              <w:t>高校决策咨询参与“双百行动”的现状、模式与堵点诊断；</w:t>
            </w:r>
          </w:p>
          <w:p w14:paraId="473ADBAE">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2.</w:t>
            </w:r>
            <w:r>
              <w:rPr>
                <w:rFonts w:hint="eastAsia" w:ascii="仿宋_GB2312" w:hAnsi="仿宋_GB2312" w:eastAsia="仿宋_GB2312" w:cs="仿宋_GB2312"/>
                <w:kern w:val="2"/>
                <w:sz w:val="24"/>
                <w:szCs w:val="24"/>
                <w:lang w:eastAsia="zh-CN"/>
              </w:rPr>
              <w:t>县域决策需求识别与高校智库供给精准匹配机制；</w:t>
            </w:r>
          </w:p>
          <w:p w14:paraId="0C0113BC">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3.</w:t>
            </w:r>
            <w:r>
              <w:rPr>
                <w:rFonts w:hint="eastAsia" w:ascii="仿宋_GB2312" w:hAnsi="仿宋_GB2312" w:eastAsia="仿宋_GB2312" w:cs="仿宋_GB2312"/>
                <w:kern w:val="2"/>
                <w:sz w:val="24"/>
                <w:szCs w:val="24"/>
                <w:lang w:eastAsia="zh-CN"/>
              </w:rPr>
              <w:t>决策咨询成果向政策建议转化的路径与质量标准；</w:t>
            </w:r>
          </w:p>
          <w:p w14:paraId="44358144">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4.</w:t>
            </w:r>
            <w:r>
              <w:rPr>
                <w:rFonts w:hint="eastAsia" w:ascii="仿宋_GB2312" w:hAnsi="仿宋_GB2312" w:eastAsia="仿宋_GB2312" w:cs="仿宋_GB2312"/>
                <w:kern w:val="2"/>
                <w:sz w:val="24"/>
                <w:szCs w:val="24"/>
                <w:lang w:eastAsia="zh-CN"/>
              </w:rPr>
              <w:t>“研究—咨询—决策—评估—反馈”闭环运行机制构建；</w:t>
            </w:r>
          </w:p>
          <w:p w14:paraId="4C25936D">
            <w:pPr>
              <w:autoSpaceDE/>
              <w:autoSpaceDN/>
              <w:spacing w:line="0" w:lineRule="atLeast"/>
              <w:jc w:val="both"/>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val="en-US" w:eastAsia="zh-CN"/>
              </w:rPr>
              <w:t>5.</w:t>
            </w:r>
            <w:r>
              <w:rPr>
                <w:rFonts w:hint="eastAsia" w:ascii="仿宋_GB2312" w:hAnsi="仿宋_GB2312" w:eastAsia="仿宋_GB2312" w:cs="仿宋_GB2312"/>
                <w:kern w:val="2"/>
                <w:sz w:val="24"/>
                <w:szCs w:val="24"/>
                <w:lang w:eastAsia="zh-CN"/>
              </w:rPr>
              <w:t>校地智库协同平台与激励约束机制设计。</w:t>
            </w:r>
          </w:p>
        </w:tc>
        <w:tc>
          <w:tcPr>
            <w:tcW w:w="1499" w:type="dxa"/>
            <w:noWrap w:val="0"/>
            <w:vAlign w:val="center"/>
          </w:tcPr>
          <w:p w14:paraId="19E432BB">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020-37626710</w:t>
            </w:r>
          </w:p>
        </w:tc>
        <w:tc>
          <w:tcPr>
            <w:tcW w:w="1477" w:type="dxa"/>
            <w:vMerge w:val="continue"/>
            <w:noWrap w:val="0"/>
            <w:vAlign w:val="center"/>
          </w:tcPr>
          <w:p w14:paraId="63688D79">
            <w:pPr>
              <w:autoSpaceDE/>
              <w:autoSpaceDN/>
              <w:spacing w:line="0" w:lineRule="atLeast"/>
              <w:jc w:val="center"/>
              <w:rPr>
                <w:rFonts w:hint="eastAsia" w:ascii="仿宋_GB2312" w:hAnsi="仿宋_GB2312" w:eastAsia="仿宋_GB2312" w:cs="仿宋_GB2312"/>
                <w:kern w:val="2"/>
                <w:sz w:val="24"/>
                <w:szCs w:val="24"/>
                <w:lang w:eastAsia="zh-CN"/>
              </w:rPr>
            </w:pPr>
          </w:p>
        </w:tc>
      </w:tr>
      <w:tr w14:paraId="5213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986A6A9">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68</w:t>
            </w:r>
          </w:p>
        </w:tc>
        <w:tc>
          <w:tcPr>
            <w:tcW w:w="2440" w:type="dxa"/>
            <w:noWrap w:val="0"/>
            <w:vAlign w:val="center"/>
          </w:tcPr>
          <w:p w14:paraId="5D135E22">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广东高考学科表现归因分析与教学改进实证研究</w:t>
            </w:r>
          </w:p>
        </w:tc>
        <w:tc>
          <w:tcPr>
            <w:tcW w:w="4454" w:type="dxa"/>
            <w:noWrap w:val="0"/>
            <w:vAlign w:val="center"/>
          </w:tcPr>
          <w:p w14:paraId="45198366">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诊断广东高考数学、语文、物理等学科薄弱根源，为全省教学改进提供循证依据，支撑基础教育扩优提质。</w:t>
            </w:r>
          </w:p>
        </w:tc>
        <w:tc>
          <w:tcPr>
            <w:tcW w:w="3944" w:type="dxa"/>
            <w:noWrap w:val="0"/>
            <w:vAlign w:val="center"/>
          </w:tcPr>
          <w:p w14:paraId="5F29F90E">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构建学科成绩多维归因框架，分析区域、学校差异；分学科诊断教学性根因；研究命题趋势与教学响应；开发并验证教学改进方案。</w:t>
            </w:r>
          </w:p>
        </w:tc>
        <w:tc>
          <w:tcPr>
            <w:tcW w:w="1499" w:type="dxa"/>
            <w:vMerge w:val="restart"/>
            <w:noWrap w:val="0"/>
            <w:vAlign w:val="center"/>
          </w:tcPr>
          <w:p w14:paraId="65936043">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color w:val="000000"/>
                <w:kern w:val="0"/>
                <w:sz w:val="24"/>
                <w:u w:val="none"/>
                <w:lang w:val="en-US" w:eastAsia="zh-CN" w:bidi="ar"/>
              </w:rPr>
              <w:t>020-83525423</w:t>
            </w:r>
          </w:p>
        </w:tc>
        <w:tc>
          <w:tcPr>
            <w:tcW w:w="1477" w:type="dxa"/>
            <w:vMerge w:val="restart"/>
            <w:noWrap w:val="0"/>
            <w:vAlign w:val="center"/>
          </w:tcPr>
          <w:p w14:paraId="4B29E233">
            <w:pPr>
              <w:autoSpaceDE/>
              <w:autoSpaceDN/>
              <w:spacing w:line="0" w:lineRule="atLeast"/>
              <w:jc w:val="center"/>
              <w:rPr>
                <w:rFonts w:hint="eastAsia" w:ascii="仿宋_GB2312" w:hAnsi="仿宋_GB2312" w:eastAsia="仿宋_GB2312" w:cs="仿宋_GB2312"/>
                <w:kern w:val="2"/>
                <w:sz w:val="24"/>
                <w:szCs w:val="24"/>
                <w:lang w:eastAsia="zh-CN"/>
              </w:rPr>
            </w:pPr>
            <w:r>
              <w:rPr>
                <w:rFonts w:hint="eastAsia" w:ascii="仿宋_GB2312" w:hAnsi="仿宋_GB2312" w:eastAsia="仿宋_GB2312" w:cs="仿宋_GB2312"/>
                <w:kern w:val="2"/>
                <w:sz w:val="24"/>
                <w:szCs w:val="24"/>
                <w:lang w:eastAsia="zh-CN"/>
              </w:rPr>
              <w:t>省教育</w:t>
            </w:r>
            <w:bookmarkStart w:id="0" w:name="_GoBack"/>
            <w:bookmarkEnd w:id="0"/>
            <w:r>
              <w:rPr>
                <w:rFonts w:hint="eastAsia" w:ascii="仿宋_GB2312" w:hAnsi="仿宋_GB2312" w:eastAsia="仿宋_GB2312" w:cs="仿宋_GB2312"/>
                <w:kern w:val="2"/>
                <w:sz w:val="24"/>
                <w:szCs w:val="24"/>
                <w:lang w:eastAsia="zh-CN"/>
              </w:rPr>
              <w:t>研究院</w:t>
            </w:r>
          </w:p>
        </w:tc>
      </w:tr>
      <w:tr w14:paraId="0C91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114589E8">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69</w:t>
            </w:r>
          </w:p>
        </w:tc>
        <w:tc>
          <w:tcPr>
            <w:tcW w:w="2440" w:type="dxa"/>
            <w:noWrap w:val="0"/>
            <w:vAlign w:val="center"/>
          </w:tcPr>
          <w:p w14:paraId="4BFD097D">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提升教育教学科学化水平研究</w:t>
            </w:r>
          </w:p>
        </w:tc>
        <w:tc>
          <w:tcPr>
            <w:tcW w:w="4454" w:type="dxa"/>
            <w:noWrap w:val="0"/>
            <w:vAlign w:val="center"/>
          </w:tcPr>
          <w:p w14:paraId="0E5E0CBF">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推动广东教育教学从经验型向循证型转型，提升教育决策与实践的科学性。</w:t>
            </w:r>
          </w:p>
        </w:tc>
        <w:tc>
          <w:tcPr>
            <w:tcW w:w="3944" w:type="dxa"/>
            <w:noWrap w:val="0"/>
            <w:vAlign w:val="center"/>
          </w:tcPr>
          <w:p w14:paraId="21B315C4">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研究教学决策、教研指导、教育评价、实验验证、研究方法五个维度的科学化路径；开发基于数据的教研诊断工具；建立“小范围实验—效果评估—逐步推广”的科学决策流程；提升全省教育科研方法论水平。</w:t>
            </w:r>
          </w:p>
        </w:tc>
        <w:tc>
          <w:tcPr>
            <w:tcW w:w="1499" w:type="dxa"/>
            <w:vMerge w:val="continue"/>
            <w:noWrap w:val="0"/>
            <w:vAlign w:val="center"/>
          </w:tcPr>
          <w:p w14:paraId="1D6321F0">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729E3A90">
            <w:pPr>
              <w:autoSpaceDE/>
              <w:autoSpaceDN/>
              <w:spacing w:line="0" w:lineRule="atLeast"/>
              <w:jc w:val="center"/>
              <w:rPr>
                <w:rFonts w:hint="eastAsia" w:ascii="仿宋_GB2312" w:hAnsi="仿宋_GB2312" w:eastAsia="仿宋_GB2312" w:cs="仿宋_GB2312"/>
                <w:kern w:val="2"/>
                <w:sz w:val="24"/>
                <w:szCs w:val="24"/>
                <w:lang w:eastAsia="zh-CN"/>
              </w:rPr>
            </w:pPr>
          </w:p>
        </w:tc>
      </w:tr>
      <w:tr w14:paraId="624F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77E7B164">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70</w:t>
            </w:r>
          </w:p>
        </w:tc>
        <w:tc>
          <w:tcPr>
            <w:tcW w:w="2440" w:type="dxa"/>
            <w:noWrap w:val="0"/>
            <w:vAlign w:val="center"/>
          </w:tcPr>
          <w:p w14:paraId="504CA7EB">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基础教育教研体系运行效能评价研究</w:t>
            </w:r>
          </w:p>
        </w:tc>
        <w:tc>
          <w:tcPr>
            <w:tcW w:w="4454" w:type="dxa"/>
            <w:noWrap w:val="0"/>
            <w:vAlign w:val="center"/>
          </w:tcPr>
          <w:p w14:paraId="543BE459">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实证评估省-市-县-校四级教研体系运行效能，诊断堵点，为优化教研治理、提升教研贡献度提供依据。</w:t>
            </w:r>
          </w:p>
        </w:tc>
        <w:tc>
          <w:tcPr>
            <w:tcW w:w="3944" w:type="dxa"/>
            <w:noWrap w:val="0"/>
            <w:vAlign w:val="center"/>
          </w:tcPr>
          <w:p w14:paraId="50BC76E7">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构建教研体系运行效能评估框架；诊断“空转”现象类型与机制；评估四级教研贯通性；分析影响因素；提出教研体系优化方案与评估工具。</w:t>
            </w:r>
          </w:p>
        </w:tc>
        <w:tc>
          <w:tcPr>
            <w:tcW w:w="1499" w:type="dxa"/>
            <w:vMerge w:val="continue"/>
            <w:noWrap w:val="0"/>
            <w:vAlign w:val="center"/>
          </w:tcPr>
          <w:p w14:paraId="31EB483B">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5290EEF9">
            <w:pPr>
              <w:autoSpaceDE/>
              <w:autoSpaceDN/>
              <w:spacing w:line="0" w:lineRule="atLeast"/>
              <w:jc w:val="center"/>
              <w:rPr>
                <w:rFonts w:hint="eastAsia" w:ascii="仿宋_GB2312" w:hAnsi="仿宋_GB2312" w:eastAsia="仿宋_GB2312" w:cs="仿宋_GB2312"/>
                <w:kern w:val="2"/>
                <w:sz w:val="24"/>
                <w:szCs w:val="24"/>
                <w:lang w:eastAsia="zh-CN"/>
              </w:rPr>
            </w:pPr>
          </w:p>
        </w:tc>
      </w:tr>
      <w:tr w14:paraId="379A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7761BCBA">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71</w:t>
            </w:r>
          </w:p>
        </w:tc>
        <w:tc>
          <w:tcPr>
            <w:tcW w:w="2440" w:type="dxa"/>
            <w:noWrap w:val="0"/>
            <w:vAlign w:val="center"/>
          </w:tcPr>
          <w:p w14:paraId="3BEE4E15">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县中托管帮扶背景下城乡教研共同体建设成效评估研究</w:t>
            </w:r>
          </w:p>
        </w:tc>
        <w:tc>
          <w:tcPr>
            <w:tcW w:w="4454" w:type="dxa"/>
            <w:noWrap w:val="0"/>
            <w:vAlign w:val="center"/>
          </w:tcPr>
          <w:p w14:paraId="3FBA42AB">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评估县中托管帮扶背景下城乡教研共同体建设的真实成效，诊断存在的困难、问题、堵点，为从县中帮扶从“输血”到“造血”转型、实质性扩大优质教育资源覆盖面提供路径参考。</w:t>
            </w:r>
          </w:p>
        </w:tc>
        <w:tc>
          <w:tcPr>
            <w:tcW w:w="3944" w:type="dxa"/>
            <w:noWrap w:val="0"/>
            <w:vAlign w:val="center"/>
          </w:tcPr>
          <w:p w14:paraId="4899B3D9">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构建县中托管帮扶背景下城乡教研共同体建设成效评估框架，比较集团化办学与城乡教研共同体组织模式，评估帮扶对学生、教师、学校治理的影响，研究帮扶长效机制与转型条件，提炼区域典型案例与优化政策建议。</w:t>
            </w:r>
          </w:p>
        </w:tc>
        <w:tc>
          <w:tcPr>
            <w:tcW w:w="1499" w:type="dxa"/>
            <w:vMerge w:val="continue"/>
            <w:noWrap w:val="0"/>
            <w:vAlign w:val="center"/>
          </w:tcPr>
          <w:p w14:paraId="2B9010EC">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6E8EB62E">
            <w:pPr>
              <w:autoSpaceDE/>
              <w:autoSpaceDN/>
              <w:spacing w:line="0" w:lineRule="atLeast"/>
              <w:jc w:val="center"/>
              <w:rPr>
                <w:rFonts w:hint="eastAsia" w:ascii="仿宋_GB2312" w:hAnsi="仿宋_GB2312" w:eastAsia="仿宋_GB2312" w:cs="仿宋_GB2312"/>
                <w:kern w:val="2"/>
                <w:sz w:val="24"/>
                <w:szCs w:val="24"/>
                <w:lang w:eastAsia="zh-CN"/>
              </w:rPr>
            </w:pPr>
          </w:p>
        </w:tc>
      </w:tr>
      <w:tr w14:paraId="0F3C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392C73CF">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72</w:t>
            </w:r>
          </w:p>
        </w:tc>
        <w:tc>
          <w:tcPr>
            <w:tcW w:w="2440" w:type="dxa"/>
            <w:noWrap w:val="0"/>
            <w:vAlign w:val="center"/>
          </w:tcPr>
          <w:p w14:paraId="0A6AE963">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高校服务驻地城市发展效能评价研究</w:t>
            </w:r>
          </w:p>
        </w:tc>
        <w:tc>
          <w:tcPr>
            <w:tcW w:w="4454" w:type="dxa"/>
            <w:noWrap w:val="0"/>
            <w:vAlign w:val="center"/>
          </w:tcPr>
          <w:p w14:paraId="06C76599">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评估在粤高校服务城市发展的实际效能，为分类引导高校融入区域创新体系、提升教育服务高质量发展能力提供依据。</w:t>
            </w:r>
          </w:p>
        </w:tc>
        <w:tc>
          <w:tcPr>
            <w:tcW w:w="3944" w:type="dxa"/>
            <w:noWrap w:val="0"/>
            <w:vAlign w:val="center"/>
          </w:tcPr>
          <w:p w14:paraId="4AFE16CA">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构建高校服务城市发展效能评估框架；按城市能级与高校类型交叉分类研究；分析人才留用、成果转化、产学研合作等关键指标；研究校地协同机制；提出分类引导政策与粤东西北高校差异化发展路径。</w:t>
            </w:r>
          </w:p>
        </w:tc>
        <w:tc>
          <w:tcPr>
            <w:tcW w:w="1499" w:type="dxa"/>
            <w:vMerge w:val="continue"/>
            <w:noWrap w:val="0"/>
            <w:vAlign w:val="center"/>
          </w:tcPr>
          <w:p w14:paraId="3B4129FF">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6D09613">
            <w:pPr>
              <w:autoSpaceDE/>
              <w:autoSpaceDN/>
              <w:spacing w:line="0" w:lineRule="atLeast"/>
              <w:jc w:val="center"/>
              <w:rPr>
                <w:rFonts w:hint="eastAsia" w:ascii="仿宋_GB2312" w:hAnsi="仿宋_GB2312" w:eastAsia="仿宋_GB2312" w:cs="仿宋_GB2312"/>
                <w:kern w:val="2"/>
                <w:sz w:val="24"/>
                <w:szCs w:val="24"/>
                <w:lang w:eastAsia="zh-CN"/>
              </w:rPr>
            </w:pPr>
          </w:p>
        </w:tc>
      </w:tr>
      <w:tr w14:paraId="1AD4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27D014FA">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73</w:t>
            </w:r>
          </w:p>
        </w:tc>
        <w:tc>
          <w:tcPr>
            <w:tcW w:w="2440" w:type="dxa"/>
            <w:noWrap w:val="0"/>
            <w:vAlign w:val="center"/>
          </w:tcPr>
          <w:p w14:paraId="41DEEC79">
            <w:pPr>
              <w:keepNext w:val="0"/>
              <w:keepLines w:val="0"/>
              <w:widowControl/>
              <w:suppressLineNumbers w:val="0"/>
              <w:spacing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人工智能赋能中小学教育教学质量提升研究</w:t>
            </w:r>
          </w:p>
        </w:tc>
        <w:tc>
          <w:tcPr>
            <w:tcW w:w="4454" w:type="dxa"/>
            <w:noWrap w:val="0"/>
            <w:vAlign w:val="center"/>
          </w:tcPr>
          <w:p w14:paraId="71E75353">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落实教育数字化转型战略，探索人工智能赋能中小学教学的具体场景与有效模式，为提升教学质量、促进教育均衡、培养教师AI素养提供实践方案。</w:t>
            </w:r>
          </w:p>
        </w:tc>
        <w:tc>
          <w:tcPr>
            <w:tcW w:w="3944" w:type="dxa"/>
            <w:noWrap w:val="0"/>
            <w:vAlign w:val="center"/>
          </w:tcPr>
          <w:p w14:paraId="334CA71B">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研究AI在课堂教学、作业设计、学业评价、个性化学习等场景的应用模式；开发教师AI素养培训体系；构建AI赋能教学效果评估工具；研究数字化教研转型路径；提炼可推广的“AI+教育”广东案例。</w:t>
            </w:r>
          </w:p>
        </w:tc>
        <w:tc>
          <w:tcPr>
            <w:tcW w:w="1499" w:type="dxa"/>
            <w:vMerge w:val="continue"/>
            <w:noWrap w:val="0"/>
            <w:vAlign w:val="center"/>
          </w:tcPr>
          <w:p w14:paraId="5D39C01B">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3C49D6D5">
            <w:pPr>
              <w:autoSpaceDE/>
              <w:autoSpaceDN/>
              <w:spacing w:line="0" w:lineRule="atLeast"/>
              <w:jc w:val="center"/>
              <w:rPr>
                <w:rFonts w:hint="eastAsia" w:ascii="仿宋_GB2312" w:hAnsi="仿宋_GB2312" w:eastAsia="仿宋_GB2312" w:cs="仿宋_GB2312"/>
                <w:kern w:val="2"/>
                <w:sz w:val="24"/>
                <w:szCs w:val="24"/>
                <w:lang w:eastAsia="zh-CN"/>
              </w:rPr>
            </w:pPr>
          </w:p>
        </w:tc>
      </w:tr>
      <w:tr w14:paraId="0EF6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0058109C">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74</w:t>
            </w:r>
          </w:p>
        </w:tc>
        <w:tc>
          <w:tcPr>
            <w:tcW w:w="2440" w:type="dxa"/>
            <w:noWrap w:val="0"/>
            <w:vAlign w:val="center"/>
          </w:tcPr>
          <w:p w14:paraId="0CFC5E59">
            <w:pPr>
              <w:keepNext w:val="0"/>
              <w:keepLines w:val="0"/>
              <w:widowControl/>
              <w:suppressLineNumbers w:val="0"/>
              <w:spacing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民办学校办学风险防范研究</w:t>
            </w:r>
          </w:p>
        </w:tc>
        <w:tc>
          <w:tcPr>
            <w:tcW w:w="4454" w:type="dxa"/>
            <w:noWrap w:val="0"/>
            <w:vAlign w:val="center"/>
          </w:tcPr>
          <w:p w14:paraId="5385C204">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落实全面从严治党、整治教育领域突出问题要求，系统识别民办学校办学风险，构建风险预警与防范机制，促进民办教育规范健康发展，维护教育系统安全稳定。</w:t>
            </w:r>
          </w:p>
        </w:tc>
        <w:tc>
          <w:tcPr>
            <w:tcW w:w="3944" w:type="dxa"/>
            <w:noWrap w:val="0"/>
            <w:vAlign w:val="center"/>
          </w:tcPr>
          <w:p w14:paraId="355E9093">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构建民办学校办学风险识别与评估指标体系；分析财务、招生、师资、安全等关键风险领域；研究风险预警与分级防控机制；提出分类监管与政策完善建议；开发风险监测工具，服务教育行政部门决策。</w:t>
            </w:r>
          </w:p>
        </w:tc>
        <w:tc>
          <w:tcPr>
            <w:tcW w:w="1499" w:type="dxa"/>
            <w:vMerge w:val="continue"/>
            <w:noWrap w:val="0"/>
            <w:vAlign w:val="center"/>
          </w:tcPr>
          <w:p w14:paraId="01D13D31">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1F25E067">
            <w:pPr>
              <w:autoSpaceDE/>
              <w:autoSpaceDN/>
              <w:spacing w:line="0" w:lineRule="atLeast"/>
              <w:jc w:val="center"/>
              <w:rPr>
                <w:rFonts w:hint="eastAsia" w:ascii="仿宋_GB2312" w:hAnsi="仿宋_GB2312" w:eastAsia="仿宋_GB2312" w:cs="仿宋_GB2312"/>
                <w:kern w:val="2"/>
                <w:sz w:val="24"/>
                <w:szCs w:val="24"/>
                <w:lang w:eastAsia="zh-CN"/>
              </w:rPr>
            </w:pPr>
          </w:p>
        </w:tc>
      </w:tr>
      <w:tr w14:paraId="60D9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82" w:type="dxa"/>
            <w:noWrap w:val="0"/>
            <w:vAlign w:val="center"/>
          </w:tcPr>
          <w:p w14:paraId="587417FD">
            <w:pPr>
              <w:autoSpaceDE/>
              <w:autoSpaceDN/>
              <w:spacing w:line="0" w:lineRule="atLeast"/>
              <w:jc w:val="center"/>
              <w:rPr>
                <w:rFonts w:hint="default"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75</w:t>
            </w:r>
          </w:p>
        </w:tc>
        <w:tc>
          <w:tcPr>
            <w:tcW w:w="2440" w:type="dxa"/>
            <w:noWrap w:val="0"/>
            <w:vAlign w:val="center"/>
          </w:tcPr>
          <w:p w14:paraId="47A75EEE">
            <w:pPr>
              <w:keepNext w:val="0"/>
              <w:keepLines w:val="0"/>
              <w:widowControl/>
              <w:suppressLineNumbers w:val="0"/>
              <w:spacing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普通高中学位扩容背景下相关保障问题研究</w:t>
            </w:r>
          </w:p>
        </w:tc>
        <w:tc>
          <w:tcPr>
            <w:tcW w:w="4454" w:type="dxa"/>
            <w:noWrap w:val="0"/>
            <w:vAlign w:val="center"/>
          </w:tcPr>
          <w:p w14:paraId="603555FC">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回应“百万学位攻坚行动”20万个普通高中学位建设硬指标，研究学位扩容带来的师资、校园、经费等配套保障问题，确保学位“建得起来、办得好学”。</w:t>
            </w:r>
          </w:p>
        </w:tc>
        <w:tc>
          <w:tcPr>
            <w:tcW w:w="3944" w:type="dxa"/>
            <w:noWrap w:val="0"/>
            <w:vAlign w:val="center"/>
          </w:tcPr>
          <w:p w14:paraId="43D60A9F">
            <w:pPr>
              <w:keepNext w:val="0"/>
              <w:keepLines w:val="0"/>
              <w:widowControl/>
              <w:suppressLineNumbers w:val="0"/>
              <w:spacing w:line="320" w:lineRule="exact"/>
              <w:jc w:val="left"/>
              <w:textAlignment w:val="center"/>
              <w:rPr>
                <w:rFonts w:hint="eastAsia" w:ascii="仿宋_GB2312" w:hAnsi="仿宋_GB2312" w:eastAsia="仿宋_GB2312" w:cs="仿宋_GB231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预测学位扩容带来的师资需求缺口与配置方案；研究校园校舍、教学设施、实验设备等建设标准与资金保障；分析扩容背景下的学校治理与教学质量保障机制；研究“一地一策”配套保障路径；提出要素保障政策建议。</w:t>
            </w:r>
          </w:p>
        </w:tc>
        <w:tc>
          <w:tcPr>
            <w:tcW w:w="1499" w:type="dxa"/>
            <w:vMerge w:val="continue"/>
            <w:noWrap w:val="0"/>
            <w:vAlign w:val="center"/>
          </w:tcPr>
          <w:p w14:paraId="7F189B3F">
            <w:pPr>
              <w:autoSpaceDE/>
              <w:autoSpaceDN/>
              <w:spacing w:line="0" w:lineRule="atLeast"/>
              <w:jc w:val="center"/>
              <w:rPr>
                <w:rFonts w:hint="eastAsia" w:ascii="仿宋_GB2312" w:hAnsi="仿宋_GB2312" w:eastAsia="仿宋_GB2312" w:cs="仿宋_GB2312"/>
                <w:kern w:val="2"/>
                <w:sz w:val="24"/>
                <w:szCs w:val="24"/>
                <w:lang w:eastAsia="zh-CN"/>
              </w:rPr>
            </w:pPr>
          </w:p>
        </w:tc>
        <w:tc>
          <w:tcPr>
            <w:tcW w:w="1477" w:type="dxa"/>
            <w:vMerge w:val="continue"/>
            <w:noWrap w:val="0"/>
            <w:vAlign w:val="center"/>
          </w:tcPr>
          <w:p w14:paraId="5CBE5E48">
            <w:pPr>
              <w:autoSpaceDE/>
              <w:autoSpaceDN/>
              <w:spacing w:line="0" w:lineRule="atLeast"/>
              <w:jc w:val="center"/>
              <w:rPr>
                <w:rFonts w:hint="eastAsia" w:ascii="仿宋_GB2312" w:hAnsi="仿宋_GB2312" w:eastAsia="仿宋_GB2312" w:cs="仿宋_GB2312"/>
                <w:kern w:val="2"/>
                <w:sz w:val="24"/>
                <w:szCs w:val="24"/>
                <w:lang w:eastAsia="zh-CN"/>
              </w:rPr>
            </w:pPr>
          </w:p>
        </w:tc>
      </w:tr>
    </w:tbl>
    <w:p w14:paraId="6C7CD94A"/>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34B43"/>
    <w:rsid w:val="09DF6712"/>
    <w:rsid w:val="0A01246A"/>
    <w:rsid w:val="13993D7C"/>
    <w:rsid w:val="22E542B8"/>
    <w:rsid w:val="27F47FCF"/>
    <w:rsid w:val="349D0A6C"/>
    <w:rsid w:val="34F10DC9"/>
    <w:rsid w:val="36513CE6"/>
    <w:rsid w:val="3D673DEF"/>
    <w:rsid w:val="41397C4F"/>
    <w:rsid w:val="47AE71FC"/>
    <w:rsid w:val="65D368AD"/>
    <w:rsid w:val="6AD13942"/>
    <w:rsid w:val="6DA73C10"/>
    <w:rsid w:val="70EA12E0"/>
    <w:rsid w:val="77FDB5C4"/>
    <w:rsid w:val="7DD520D4"/>
    <w:rsid w:val="BEFF20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footnote text"/>
    <w:basedOn w:val="1"/>
    <w:qFormat/>
    <w:uiPriority w:val="0"/>
    <w:pPr>
      <w:keepNext w:val="0"/>
      <w:keepLines w:val="0"/>
      <w:widowControl w:val="0"/>
      <w:suppressLineNumbers w:val="0"/>
      <w:autoSpaceDE w:val="0"/>
      <w:autoSpaceDN w:val="0"/>
      <w:snapToGrid w:val="0"/>
      <w:spacing w:before="0" w:beforeAutospacing="0" w:after="0" w:afterAutospacing="0"/>
      <w:ind w:left="0" w:right="0"/>
      <w:jc w:val="left"/>
    </w:pPr>
    <w:rPr>
      <w:rFonts w:hint="default" w:ascii="Times New Roman" w:hAnsi="Times New Roman" w:eastAsia="Times New Roman" w:cs="Times New Roman"/>
      <w:kern w:val="0"/>
      <w:sz w:val="18"/>
      <w:szCs w:val="22"/>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19057</Words>
  <Characters>19823</Characters>
  <Lines>0</Lines>
  <Paragraphs>0</Paragraphs>
  <TotalTime>15.3333333333333</TotalTime>
  <ScaleCrop>false</ScaleCrop>
  <LinksUpToDate>false</LinksUpToDate>
  <CharactersWithSpaces>19839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2026-10-09T22:25:00Z</dcterms:created>
  <dc:creator>camellia</dc:creator>
  <cp:lastModifiedBy>admin</cp:lastModifiedBy>
  <dcterms:modified xsi:type="dcterms:W3CDTF">2026-10-26T08:01:48Z</dcterms:modified>
  <dc:title>附件1：广东省2026年度教育科学规划课题（教育综合改革专项）选题指引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eyJoZGlkIjoiMDg0MjhmNThiZTUyNWQxMzRhMWZmYjJkN2E1ODYyNjgiLCJ1c2VySWQiOiIyMzQyODU1MzAifQ==</vt:lpwstr>
  </property>
  <property fmtid="{D5CDD505-2E9C-101B-9397-08002B2CF9AE}" pid="4" name="ICV">
    <vt:lpwstr>629F6AD0759E418DA58ED1FC8AC21166_13</vt:lpwstr>
  </property>
  <property fmtid="{D5CDD505-2E9C-101B-9397-08002B2CF9AE}" pid="5" name="慧眼令牌">
    <vt:lpwstr>eyJraWQiOiJvYSIsInR5cCI6IkpXVCIsImFsZyI6IkhTMjU2In0.eyJzdWIiOiJPQS1MT0dJTiIsImNvcnBJZCI6IiIsIm1haW5BY2NvdW50IjoiIiwiaXNzIjoiRVhPQSIsIm9EZXB0IjoiIiwidXNlcklkIjozMzQsIm1EZXB0IjoiMTYs56eR56CU5aSEIiwibmJmIjoxNzkyNzEyMjIzLCJuYW1lIjoi6Z2z5aSp5p2lIiwiZXhwIjoxNzkyNzU5MDIzLCJpYXQiOjE3OTI3MTUyMjMsImp0aSI6Im9hIiwiYWNjb3VudCI6ImppbnRsIn0.qLgtwJJaaaHqSyt1sRha4QCBusSok1qhVxtSGOzVWIQ</vt:lpwstr>
  </property>
</Properties>
</file>